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A9619" w14:textId="2D1AA591" w:rsidR="0067029C" w:rsidRPr="002924DA" w:rsidRDefault="009869B2" w:rsidP="3E72D121">
      <w:pPr>
        <w:spacing w:line="240" w:lineRule="auto"/>
        <w:jc w:val="center"/>
        <w:rPr>
          <w:rFonts w:ascii="Times New Roman" w:hAnsi="Times New Roman" w:cs="Times New Roman"/>
          <w:b/>
          <w:bCs/>
          <w:sz w:val="24"/>
          <w:szCs w:val="24"/>
        </w:rPr>
      </w:pPr>
      <w:r w:rsidRPr="3E72D121">
        <w:rPr>
          <w:rFonts w:ascii="Times New Roman" w:hAnsi="Times New Roman" w:cs="Times New Roman"/>
          <w:b/>
          <w:bCs/>
          <w:sz w:val="24"/>
          <w:szCs w:val="24"/>
        </w:rPr>
        <w:t>LOCAL AREA WORKFORCE DEVELOPMENT BOARD</w:t>
      </w:r>
      <w:r w:rsidR="005A5827">
        <w:rPr>
          <w:rFonts w:ascii="Times New Roman" w:hAnsi="Times New Roman" w:cs="Times New Roman"/>
          <w:b/>
          <w:bCs/>
          <w:sz w:val="24"/>
          <w:szCs w:val="24"/>
        </w:rPr>
        <w:t xml:space="preserve"> </w:t>
      </w:r>
    </w:p>
    <w:p w14:paraId="5A321EAA" w14:textId="33611D92" w:rsidR="0067029C" w:rsidRPr="002924DA" w:rsidRDefault="0067029C" w:rsidP="3E72D121">
      <w:pPr>
        <w:spacing w:line="240" w:lineRule="auto"/>
        <w:jc w:val="center"/>
        <w:rPr>
          <w:rFonts w:ascii="Times New Roman" w:hAnsi="Times New Roman" w:cs="Times New Roman"/>
          <w:sz w:val="24"/>
          <w:szCs w:val="24"/>
        </w:rPr>
      </w:pPr>
      <w:r w:rsidRPr="3E72D121">
        <w:rPr>
          <w:rFonts w:ascii="Times New Roman" w:hAnsi="Times New Roman" w:cs="Times New Roman"/>
          <w:b/>
          <w:bCs/>
          <w:sz w:val="24"/>
          <w:szCs w:val="24"/>
        </w:rPr>
        <w:t>REMOTE AND/OR ONSITE MONITORING AND FREQUENCY</w:t>
      </w:r>
      <w:r w:rsidR="006A7C6F">
        <w:rPr>
          <w:rFonts w:ascii="Times New Roman" w:hAnsi="Times New Roman" w:cs="Times New Roman"/>
          <w:b/>
          <w:bCs/>
          <w:sz w:val="24"/>
          <w:szCs w:val="24"/>
        </w:rPr>
        <w:t xml:space="preserve"> GUIDE</w:t>
      </w:r>
    </w:p>
    <w:p w14:paraId="0BAE2816" w14:textId="0D8897E4" w:rsidR="0067029C" w:rsidRPr="002924DA" w:rsidRDefault="0067029C" w:rsidP="009F0DBF">
      <w:pPr>
        <w:spacing w:line="240" w:lineRule="auto"/>
        <w:jc w:val="both"/>
        <w:rPr>
          <w:rFonts w:ascii="Times New Roman" w:hAnsi="Times New Roman" w:cs="Times New Roman"/>
          <w:sz w:val="24"/>
          <w:szCs w:val="24"/>
        </w:rPr>
      </w:pPr>
      <w:r w:rsidRPr="002924DA">
        <w:rPr>
          <w:rFonts w:ascii="Times New Roman" w:hAnsi="Times New Roman" w:cs="Times New Roman"/>
          <w:sz w:val="24"/>
          <w:szCs w:val="24"/>
        </w:rPr>
        <w:t>The Workforce Innovation and Opportunity Act (WIOA) promotes service integration and coordination of services among and between required and additional partner programs. The State workforce agency</w:t>
      </w:r>
      <w:r w:rsidR="00855805">
        <w:rPr>
          <w:rFonts w:ascii="Times New Roman" w:hAnsi="Times New Roman" w:cs="Times New Roman"/>
          <w:sz w:val="24"/>
          <w:szCs w:val="24"/>
        </w:rPr>
        <w:t>,</w:t>
      </w:r>
      <w:r w:rsidRPr="002924DA">
        <w:rPr>
          <w:rFonts w:ascii="Times New Roman" w:hAnsi="Times New Roman" w:cs="Times New Roman"/>
          <w:sz w:val="24"/>
          <w:szCs w:val="24"/>
        </w:rPr>
        <w:t xml:space="preserve"> </w:t>
      </w:r>
      <w:r w:rsidR="00AB6EE6" w:rsidRPr="002924DA">
        <w:rPr>
          <w:rFonts w:ascii="Times New Roman" w:hAnsi="Times New Roman" w:cs="Times New Roman"/>
          <w:sz w:val="24"/>
          <w:szCs w:val="24"/>
        </w:rPr>
        <w:t>NC Department of Commerce - Division of Workforce Solutions (DWS)</w:t>
      </w:r>
      <w:r w:rsidR="00855805">
        <w:rPr>
          <w:rFonts w:ascii="Times New Roman" w:hAnsi="Times New Roman" w:cs="Times New Roman"/>
          <w:sz w:val="24"/>
          <w:szCs w:val="24"/>
        </w:rPr>
        <w:t>,</w:t>
      </w:r>
      <w:r w:rsidR="00AB6EE6" w:rsidRPr="002924DA">
        <w:rPr>
          <w:rFonts w:ascii="Times New Roman" w:hAnsi="Times New Roman" w:cs="Times New Roman"/>
          <w:sz w:val="24"/>
          <w:szCs w:val="24"/>
        </w:rPr>
        <w:t xml:space="preserve"> </w:t>
      </w:r>
      <w:r w:rsidRPr="002924DA">
        <w:rPr>
          <w:rFonts w:ascii="Times New Roman" w:hAnsi="Times New Roman" w:cs="Times New Roman"/>
          <w:sz w:val="24"/>
          <w:szCs w:val="24"/>
        </w:rPr>
        <w:t>acts on behalf of the Governor to administer and oversee the implementation of WIOA. As such, DWS is responsible for both fiscal and programmatic oversight of WIOA Title I</w:t>
      </w:r>
      <w:r w:rsidR="00601CD7">
        <w:rPr>
          <w:rFonts w:ascii="Times New Roman" w:hAnsi="Times New Roman" w:cs="Times New Roman"/>
          <w:sz w:val="24"/>
          <w:szCs w:val="24"/>
        </w:rPr>
        <w:t>, Subtitles</w:t>
      </w:r>
      <w:r w:rsidR="00664931">
        <w:rPr>
          <w:rFonts w:ascii="Times New Roman" w:hAnsi="Times New Roman" w:cs="Times New Roman"/>
          <w:sz w:val="24"/>
          <w:szCs w:val="24"/>
        </w:rPr>
        <w:t xml:space="preserve"> </w:t>
      </w:r>
      <w:r w:rsidR="00F72A60">
        <w:rPr>
          <w:rFonts w:ascii="Times New Roman" w:hAnsi="Times New Roman" w:cs="Times New Roman"/>
          <w:sz w:val="24"/>
          <w:szCs w:val="24"/>
        </w:rPr>
        <w:t>A</w:t>
      </w:r>
      <w:r w:rsidR="00664931">
        <w:rPr>
          <w:rFonts w:ascii="Times New Roman" w:hAnsi="Times New Roman" w:cs="Times New Roman"/>
          <w:sz w:val="24"/>
          <w:szCs w:val="24"/>
        </w:rPr>
        <w:t xml:space="preserve"> and </w:t>
      </w:r>
      <w:r w:rsidRPr="002924DA">
        <w:rPr>
          <w:rFonts w:ascii="Times New Roman" w:hAnsi="Times New Roman" w:cs="Times New Roman"/>
          <w:sz w:val="24"/>
          <w:szCs w:val="24"/>
        </w:rPr>
        <w:t xml:space="preserve">B and Title III programs.  </w:t>
      </w:r>
    </w:p>
    <w:p w14:paraId="65532C2E" w14:textId="705F1BCD" w:rsidR="0067029C" w:rsidRPr="002924DA" w:rsidRDefault="0067029C" w:rsidP="009F0DBF">
      <w:pPr>
        <w:spacing w:line="240" w:lineRule="auto"/>
        <w:jc w:val="both"/>
        <w:rPr>
          <w:rFonts w:ascii="Times New Roman" w:hAnsi="Times New Roman" w:cs="Times New Roman"/>
          <w:sz w:val="24"/>
          <w:szCs w:val="24"/>
        </w:rPr>
      </w:pPr>
      <w:r w:rsidRPr="002924DA">
        <w:rPr>
          <w:rFonts w:ascii="Times New Roman" w:hAnsi="Times New Roman" w:cs="Times New Roman"/>
          <w:sz w:val="24"/>
          <w:szCs w:val="24"/>
        </w:rPr>
        <w:t xml:space="preserve">Monitoring examines compliance with regulations, policies and guidance and affords reviewers an opportunity to learn about innovative approaches and best practices being used to achieve strategic priorities.  It involves partnership across program delivery levels and agencies and benefits from established relationships based on trust and understanding which support early identification and resolution of issues.  </w:t>
      </w:r>
    </w:p>
    <w:p w14:paraId="7C06A0D7" w14:textId="25553F82" w:rsidR="0067029C" w:rsidRPr="002924DA" w:rsidRDefault="0067029C" w:rsidP="009F0DBF">
      <w:pPr>
        <w:spacing w:line="240" w:lineRule="auto"/>
        <w:jc w:val="both"/>
        <w:rPr>
          <w:rFonts w:ascii="Times New Roman" w:hAnsi="Times New Roman" w:cs="Times New Roman"/>
          <w:sz w:val="24"/>
          <w:szCs w:val="24"/>
        </w:rPr>
      </w:pPr>
      <w:r w:rsidRPr="002924DA">
        <w:rPr>
          <w:rFonts w:ascii="Times New Roman" w:hAnsi="Times New Roman" w:cs="Times New Roman"/>
          <w:sz w:val="24"/>
          <w:szCs w:val="24"/>
        </w:rPr>
        <w:t>In conclusion, information gathered during monitoring informs continuous improvement of operations and quality of service, promotes effective service delivery approaches, addresses system deficiencies and, ultimately, results in customer satisfaction and attainment of performance obligations.</w:t>
      </w:r>
    </w:p>
    <w:p w14:paraId="23FAEE56" w14:textId="77777777" w:rsidR="0067029C" w:rsidRPr="002924DA" w:rsidRDefault="0067029C" w:rsidP="009F0DBF">
      <w:pPr>
        <w:spacing w:line="240" w:lineRule="auto"/>
        <w:jc w:val="both"/>
        <w:rPr>
          <w:rFonts w:ascii="Times New Roman" w:hAnsi="Times New Roman" w:cs="Times New Roman"/>
          <w:b/>
          <w:sz w:val="24"/>
          <w:szCs w:val="24"/>
          <w:u w:val="single"/>
        </w:rPr>
      </w:pPr>
      <w:bookmarkStart w:id="0" w:name="_Hlk93435696"/>
      <w:r w:rsidRPr="002924DA">
        <w:rPr>
          <w:rFonts w:ascii="Times New Roman" w:hAnsi="Times New Roman" w:cs="Times New Roman"/>
          <w:b/>
          <w:sz w:val="24"/>
          <w:szCs w:val="24"/>
          <w:u w:val="single"/>
        </w:rPr>
        <w:t xml:space="preserve">Auditing vs. Monitoring </w:t>
      </w:r>
    </w:p>
    <w:bookmarkEnd w:id="0"/>
    <w:p w14:paraId="5AD55E07" w14:textId="4A18ECB8" w:rsidR="0067029C" w:rsidRPr="002924DA" w:rsidRDefault="0067029C" w:rsidP="009F0DBF">
      <w:pPr>
        <w:jc w:val="both"/>
        <w:rPr>
          <w:rFonts w:ascii="Times New Roman" w:hAnsi="Times New Roman" w:cs="Times New Roman"/>
          <w:sz w:val="24"/>
          <w:szCs w:val="24"/>
        </w:rPr>
      </w:pPr>
      <w:r w:rsidRPr="002924DA">
        <w:rPr>
          <w:rFonts w:ascii="Times New Roman" w:hAnsi="Times New Roman" w:cs="Times New Roman"/>
          <w:sz w:val="24"/>
          <w:szCs w:val="24"/>
        </w:rPr>
        <w:t>2 CFR</w:t>
      </w:r>
      <w:r w:rsidR="0094233C">
        <w:rPr>
          <w:rFonts w:ascii="Times New Roman" w:hAnsi="Times New Roman" w:cs="Times New Roman"/>
          <w:sz w:val="24"/>
          <w:szCs w:val="24"/>
        </w:rPr>
        <w:t xml:space="preserve"> </w:t>
      </w:r>
      <w:r w:rsidR="009869B2" w:rsidRPr="001B5D08">
        <w:rPr>
          <w:rStyle w:val="normaltextrun"/>
        </w:rPr>
        <w:t>§</w:t>
      </w:r>
      <w:r w:rsidRPr="002924DA">
        <w:rPr>
          <w:rFonts w:ascii="Times New Roman" w:hAnsi="Times New Roman" w:cs="Times New Roman"/>
          <w:sz w:val="24"/>
          <w:szCs w:val="24"/>
        </w:rPr>
        <w:t xml:space="preserve"> 200.501 requires that any non-federal entity that expends $750,000 or more of Federal funds during a fiscal year must have a single or program</w:t>
      </w:r>
      <w:r w:rsidR="00096315">
        <w:rPr>
          <w:rFonts w:ascii="Times New Roman" w:hAnsi="Times New Roman" w:cs="Times New Roman"/>
          <w:sz w:val="24"/>
          <w:szCs w:val="24"/>
        </w:rPr>
        <w:t>-specific</w:t>
      </w:r>
      <w:r w:rsidRPr="002924DA">
        <w:rPr>
          <w:rFonts w:ascii="Times New Roman" w:hAnsi="Times New Roman" w:cs="Times New Roman"/>
          <w:sz w:val="24"/>
          <w:szCs w:val="24"/>
        </w:rPr>
        <w:t xml:space="preserve"> audit conducted for that year.  Audits follow precise procedures and occur after the end of a fiscal period and often after the grant closeout.  Audit reports </w:t>
      </w:r>
      <w:r w:rsidR="001947A1">
        <w:rPr>
          <w:rFonts w:ascii="Times New Roman" w:hAnsi="Times New Roman" w:cs="Times New Roman"/>
          <w:sz w:val="24"/>
          <w:szCs w:val="24"/>
        </w:rPr>
        <w:t>should be submitted</w:t>
      </w:r>
      <w:r w:rsidRPr="002924DA">
        <w:rPr>
          <w:rFonts w:ascii="Times New Roman" w:hAnsi="Times New Roman" w:cs="Times New Roman"/>
          <w:sz w:val="24"/>
          <w:szCs w:val="24"/>
        </w:rPr>
        <w:t xml:space="preserve"> </w:t>
      </w:r>
      <w:r w:rsidR="001947A1">
        <w:rPr>
          <w:rFonts w:ascii="Times New Roman" w:hAnsi="Times New Roman" w:cs="Times New Roman"/>
          <w:sz w:val="24"/>
          <w:szCs w:val="24"/>
        </w:rPr>
        <w:t xml:space="preserve">to the </w:t>
      </w:r>
      <w:r w:rsidR="00456A55">
        <w:rPr>
          <w:rFonts w:ascii="Times New Roman" w:hAnsi="Times New Roman" w:cs="Times New Roman"/>
          <w:sz w:val="24"/>
          <w:szCs w:val="24"/>
        </w:rPr>
        <w:t>f</w:t>
      </w:r>
      <w:r w:rsidR="001947A1">
        <w:rPr>
          <w:rFonts w:ascii="Times New Roman" w:hAnsi="Times New Roman" w:cs="Times New Roman"/>
          <w:sz w:val="24"/>
          <w:szCs w:val="24"/>
        </w:rPr>
        <w:t xml:space="preserve">inancial </w:t>
      </w:r>
      <w:r w:rsidR="00456A55">
        <w:rPr>
          <w:rFonts w:ascii="Times New Roman" w:hAnsi="Times New Roman" w:cs="Times New Roman"/>
          <w:sz w:val="24"/>
          <w:szCs w:val="24"/>
        </w:rPr>
        <w:t>m</w:t>
      </w:r>
      <w:r w:rsidR="001947A1">
        <w:rPr>
          <w:rFonts w:ascii="Times New Roman" w:hAnsi="Times New Roman" w:cs="Times New Roman"/>
          <w:sz w:val="24"/>
          <w:szCs w:val="24"/>
        </w:rPr>
        <w:t xml:space="preserve">onitor </w:t>
      </w:r>
      <w:r w:rsidRPr="002924DA">
        <w:rPr>
          <w:rFonts w:ascii="Times New Roman" w:hAnsi="Times New Roman" w:cs="Times New Roman"/>
          <w:sz w:val="24"/>
          <w:szCs w:val="24"/>
        </w:rPr>
        <w:t xml:space="preserve">no later than nine months after the period being audited.  </w:t>
      </w:r>
    </w:p>
    <w:p w14:paraId="191D2DBC" w14:textId="4F351025" w:rsidR="0067029C" w:rsidRPr="002924DA" w:rsidRDefault="0067029C" w:rsidP="009F0DBF">
      <w:pPr>
        <w:jc w:val="both"/>
        <w:rPr>
          <w:rFonts w:ascii="Times New Roman" w:hAnsi="Times New Roman" w:cs="Times New Roman"/>
          <w:sz w:val="24"/>
          <w:szCs w:val="24"/>
        </w:rPr>
      </w:pPr>
      <w:r w:rsidRPr="002924DA">
        <w:rPr>
          <w:rFonts w:ascii="Times New Roman" w:hAnsi="Times New Roman" w:cs="Times New Roman"/>
          <w:sz w:val="24"/>
          <w:szCs w:val="24"/>
        </w:rPr>
        <w:t xml:space="preserve">Unlike audits, monitoring is current and preventative and focuses on </w:t>
      </w:r>
      <w:r w:rsidR="0062749C">
        <w:rPr>
          <w:rFonts w:ascii="Times New Roman" w:hAnsi="Times New Roman" w:cs="Times New Roman"/>
          <w:sz w:val="24"/>
          <w:szCs w:val="24"/>
        </w:rPr>
        <w:t xml:space="preserve">a </w:t>
      </w:r>
      <w:r w:rsidRPr="002924DA">
        <w:rPr>
          <w:rFonts w:ascii="Times New Roman" w:hAnsi="Times New Roman" w:cs="Times New Roman"/>
          <w:sz w:val="24"/>
          <w:szCs w:val="24"/>
        </w:rPr>
        <w:t xml:space="preserve">review of activities and transactions occurring during the period of performance. One intent of monitoring is to identify issues and address them immediately.  With effective and timely resolution, issues identified through monitoring can be addressed before they become audit findings.   Program monitoring does not require following the exact procedure every time it is conducted. Monitoring </w:t>
      </w:r>
      <w:r w:rsidR="00C4078A">
        <w:rPr>
          <w:rFonts w:ascii="Times New Roman" w:hAnsi="Times New Roman" w:cs="Times New Roman"/>
          <w:sz w:val="24"/>
          <w:szCs w:val="24"/>
        </w:rPr>
        <w:t xml:space="preserve">targets </w:t>
      </w:r>
      <w:r w:rsidRPr="002924DA">
        <w:rPr>
          <w:rFonts w:ascii="Times New Roman" w:hAnsi="Times New Roman" w:cs="Times New Roman"/>
          <w:sz w:val="24"/>
          <w:szCs w:val="24"/>
        </w:rPr>
        <w:t>may change from year to year allowing reviewers to focus on specific issues or trends identified during desk reviews or risk assessments.</w:t>
      </w:r>
    </w:p>
    <w:p w14:paraId="1CD29F78" w14:textId="3E6AAB3D" w:rsidR="0067029C" w:rsidRPr="002924DA" w:rsidRDefault="0067029C" w:rsidP="009F0DBF">
      <w:pPr>
        <w:jc w:val="both"/>
        <w:rPr>
          <w:rFonts w:ascii="Times New Roman" w:hAnsi="Times New Roman" w:cs="Times New Roman"/>
          <w:b/>
          <w:sz w:val="24"/>
          <w:szCs w:val="24"/>
          <w:u w:val="single"/>
        </w:rPr>
      </w:pPr>
      <w:bookmarkStart w:id="1" w:name="_Hlk93436698"/>
      <w:r w:rsidRPr="002924DA">
        <w:rPr>
          <w:rFonts w:ascii="Times New Roman" w:hAnsi="Times New Roman" w:cs="Times New Roman"/>
          <w:b/>
          <w:sz w:val="24"/>
          <w:szCs w:val="24"/>
          <w:u w:val="single"/>
        </w:rPr>
        <w:t xml:space="preserve">Programs Subject </w:t>
      </w:r>
      <w:r w:rsidR="00FE044E" w:rsidRPr="002924DA">
        <w:rPr>
          <w:rFonts w:ascii="Times New Roman" w:hAnsi="Times New Roman" w:cs="Times New Roman"/>
          <w:b/>
          <w:sz w:val="24"/>
          <w:szCs w:val="24"/>
          <w:u w:val="single"/>
        </w:rPr>
        <w:t>to</w:t>
      </w:r>
      <w:r w:rsidRPr="002924DA">
        <w:rPr>
          <w:rFonts w:ascii="Times New Roman" w:hAnsi="Times New Roman" w:cs="Times New Roman"/>
          <w:b/>
          <w:sz w:val="24"/>
          <w:szCs w:val="24"/>
          <w:u w:val="single"/>
        </w:rPr>
        <w:t xml:space="preserve"> Monitoring </w:t>
      </w:r>
    </w:p>
    <w:bookmarkEnd w:id="1"/>
    <w:p w14:paraId="69524518" w14:textId="774113B7" w:rsidR="0067029C" w:rsidRPr="002924DA" w:rsidRDefault="0067029C" w:rsidP="009F0DBF">
      <w:pPr>
        <w:spacing w:line="276" w:lineRule="auto"/>
        <w:jc w:val="both"/>
        <w:rPr>
          <w:rFonts w:ascii="Times New Roman" w:hAnsi="Times New Roman" w:cs="Times New Roman"/>
          <w:sz w:val="24"/>
          <w:szCs w:val="24"/>
        </w:rPr>
      </w:pPr>
      <w:r w:rsidRPr="002924DA">
        <w:rPr>
          <w:rFonts w:ascii="Times New Roman" w:hAnsi="Times New Roman" w:cs="Times New Roman"/>
          <w:sz w:val="24"/>
          <w:szCs w:val="24"/>
        </w:rPr>
        <w:t xml:space="preserve">All </w:t>
      </w:r>
      <w:r w:rsidR="00DA0269">
        <w:rPr>
          <w:rFonts w:ascii="Times New Roman" w:hAnsi="Times New Roman" w:cs="Times New Roman"/>
          <w:sz w:val="24"/>
          <w:szCs w:val="24"/>
        </w:rPr>
        <w:t>f</w:t>
      </w:r>
      <w:r w:rsidR="00DA0269" w:rsidRPr="002924DA">
        <w:rPr>
          <w:rFonts w:ascii="Times New Roman" w:hAnsi="Times New Roman" w:cs="Times New Roman"/>
          <w:sz w:val="24"/>
          <w:szCs w:val="24"/>
        </w:rPr>
        <w:t xml:space="preserve">ederally </w:t>
      </w:r>
      <w:r w:rsidRPr="002924DA">
        <w:rPr>
          <w:rFonts w:ascii="Times New Roman" w:hAnsi="Times New Roman" w:cs="Times New Roman"/>
          <w:sz w:val="24"/>
          <w:szCs w:val="24"/>
        </w:rPr>
        <w:t xml:space="preserve">funded workforce programs are subject to monitoring.  Federal law requires </w:t>
      </w:r>
      <w:r w:rsidR="00096315">
        <w:rPr>
          <w:rFonts w:ascii="Times New Roman" w:hAnsi="Times New Roman" w:cs="Times New Roman"/>
          <w:sz w:val="24"/>
          <w:szCs w:val="24"/>
        </w:rPr>
        <w:t>s</w:t>
      </w:r>
      <w:r w:rsidRPr="002924DA">
        <w:rPr>
          <w:rFonts w:ascii="Times New Roman" w:hAnsi="Times New Roman" w:cs="Times New Roman"/>
          <w:sz w:val="24"/>
          <w:szCs w:val="24"/>
        </w:rPr>
        <w:t xml:space="preserve">tates to monitor programs for compliance and quality.  </w:t>
      </w:r>
    </w:p>
    <w:p w14:paraId="1431A98D" w14:textId="5300121E" w:rsidR="0067029C" w:rsidRPr="002924DA" w:rsidRDefault="0067029C" w:rsidP="009F0DBF">
      <w:pPr>
        <w:pStyle w:val="ListParagraph"/>
        <w:spacing w:line="276" w:lineRule="auto"/>
        <w:ind w:left="0"/>
        <w:jc w:val="both"/>
        <w:rPr>
          <w:sz w:val="24"/>
          <w:szCs w:val="24"/>
        </w:rPr>
      </w:pPr>
      <w:r w:rsidRPr="002924DA">
        <w:rPr>
          <w:sz w:val="24"/>
          <w:szCs w:val="24"/>
        </w:rPr>
        <w:t xml:space="preserve">This </w:t>
      </w:r>
      <w:r w:rsidR="00AC4B53">
        <w:rPr>
          <w:sz w:val="24"/>
          <w:szCs w:val="24"/>
        </w:rPr>
        <w:t>Commission Policy Statement (CPS)</w:t>
      </w:r>
      <w:r w:rsidRPr="002924DA">
        <w:rPr>
          <w:sz w:val="24"/>
          <w:szCs w:val="24"/>
        </w:rPr>
        <w:t xml:space="preserve"> provides specific guidance for monitoring of the following:</w:t>
      </w:r>
    </w:p>
    <w:p w14:paraId="5042350D" w14:textId="5F8A4678" w:rsidR="0067029C" w:rsidRPr="002924DA" w:rsidRDefault="0067029C" w:rsidP="009F0DBF">
      <w:pPr>
        <w:pStyle w:val="ListParagraph"/>
        <w:spacing w:line="276" w:lineRule="auto"/>
        <w:jc w:val="both"/>
        <w:rPr>
          <w:sz w:val="24"/>
          <w:szCs w:val="24"/>
        </w:rPr>
      </w:pPr>
      <w:r w:rsidRPr="002924DA">
        <w:rPr>
          <w:sz w:val="24"/>
          <w:szCs w:val="24"/>
        </w:rPr>
        <w:t>WIOA Title I</w:t>
      </w:r>
      <w:r w:rsidR="00601CD7">
        <w:rPr>
          <w:sz w:val="24"/>
          <w:szCs w:val="24"/>
        </w:rPr>
        <w:t>, Subtitle</w:t>
      </w:r>
      <w:r w:rsidR="0034585F">
        <w:rPr>
          <w:sz w:val="24"/>
          <w:szCs w:val="24"/>
        </w:rPr>
        <w:t xml:space="preserve"> </w:t>
      </w:r>
      <w:r w:rsidRPr="002924DA">
        <w:rPr>
          <w:sz w:val="24"/>
          <w:szCs w:val="24"/>
        </w:rPr>
        <w:t>B – Local Board Governance</w:t>
      </w:r>
    </w:p>
    <w:p w14:paraId="16FA21B8" w14:textId="588E82CE" w:rsidR="0067029C" w:rsidRPr="002924DA" w:rsidRDefault="0067029C" w:rsidP="007220E6">
      <w:pPr>
        <w:pStyle w:val="ListParagraph"/>
        <w:tabs>
          <w:tab w:val="left" w:pos="6760"/>
          <w:tab w:val="right" w:pos="9360"/>
        </w:tabs>
        <w:spacing w:line="276" w:lineRule="auto"/>
        <w:jc w:val="both"/>
        <w:rPr>
          <w:sz w:val="24"/>
          <w:szCs w:val="24"/>
        </w:rPr>
      </w:pPr>
      <w:r w:rsidRPr="002924DA">
        <w:rPr>
          <w:sz w:val="24"/>
          <w:szCs w:val="24"/>
        </w:rPr>
        <w:t>WIOA Title I</w:t>
      </w:r>
      <w:r w:rsidR="00601CD7">
        <w:rPr>
          <w:sz w:val="24"/>
          <w:szCs w:val="24"/>
        </w:rPr>
        <w:t>, Subtitle</w:t>
      </w:r>
      <w:r w:rsidR="0034585F">
        <w:rPr>
          <w:sz w:val="24"/>
          <w:szCs w:val="24"/>
        </w:rPr>
        <w:t xml:space="preserve"> </w:t>
      </w:r>
      <w:r w:rsidRPr="002924DA">
        <w:rPr>
          <w:sz w:val="24"/>
          <w:szCs w:val="24"/>
        </w:rPr>
        <w:t>B – Adult Program</w:t>
      </w:r>
      <w:r w:rsidR="00F21015">
        <w:rPr>
          <w:sz w:val="24"/>
          <w:szCs w:val="24"/>
        </w:rPr>
        <w:tab/>
      </w:r>
      <w:r w:rsidR="00F21015">
        <w:rPr>
          <w:sz w:val="24"/>
          <w:szCs w:val="24"/>
        </w:rPr>
        <w:tab/>
      </w:r>
      <w:bookmarkStart w:id="2" w:name="_GoBack"/>
      <w:bookmarkEnd w:id="2"/>
    </w:p>
    <w:p w14:paraId="14EC5C33" w14:textId="64DAE587" w:rsidR="0067029C" w:rsidRPr="002924DA" w:rsidRDefault="0067029C" w:rsidP="009F0DBF">
      <w:pPr>
        <w:pStyle w:val="ListParagraph"/>
        <w:spacing w:line="276" w:lineRule="auto"/>
        <w:jc w:val="both"/>
        <w:rPr>
          <w:sz w:val="24"/>
          <w:szCs w:val="24"/>
        </w:rPr>
      </w:pPr>
      <w:r w:rsidRPr="002924DA">
        <w:rPr>
          <w:sz w:val="24"/>
          <w:szCs w:val="24"/>
        </w:rPr>
        <w:lastRenderedPageBreak/>
        <w:t>WIOA Title I</w:t>
      </w:r>
      <w:r w:rsidR="00601CD7">
        <w:rPr>
          <w:sz w:val="24"/>
          <w:szCs w:val="24"/>
        </w:rPr>
        <w:t>, Subtitle</w:t>
      </w:r>
      <w:r w:rsidR="0034585F">
        <w:rPr>
          <w:sz w:val="24"/>
          <w:szCs w:val="24"/>
        </w:rPr>
        <w:t xml:space="preserve"> </w:t>
      </w:r>
      <w:r w:rsidRPr="002924DA">
        <w:rPr>
          <w:sz w:val="24"/>
          <w:szCs w:val="24"/>
        </w:rPr>
        <w:t>B – Dislocated Worker Program</w:t>
      </w:r>
    </w:p>
    <w:p w14:paraId="6ED8EA8B" w14:textId="0216CCDA" w:rsidR="00A93806" w:rsidRPr="002924DA" w:rsidRDefault="0067029C" w:rsidP="009F0DBF">
      <w:pPr>
        <w:pStyle w:val="ListParagraph"/>
        <w:spacing w:line="276" w:lineRule="auto"/>
        <w:jc w:val="both"/>
        <w:rPr>
          <w:sz w:val="24"/>
          <w:szCs w:val="24"/>
        </w:rPr>
      </w:pPr>
      <w:r w:rsidRPr="002924DA">
        <w:rPr>
          <w:sz w:val="24"/>
          <w:szCs w:val="24"/>
        </w:rPr>
        <w:t>WIOA Title I</w:t>
      </w:r>
      <w:r w:rsidR="00601CD7">
        <w:rPr>
          <w:sz w:val="24"/>
          <w:szCs w:val="24"/>
        </w:rPr>
        <w:t>, Subtitle</w:t>
      </w:r>
      <w:r w:rsidR="0034585F">
        <w:rPr>
          <w:sz w:val="24"/>
          <w:szCs w:val="24"/>
        </w:rPr>
        <w:t xml:space="preserve"> </w:t>
      </w:r>
      <w:r w:rsidRPr="002924DA">
        <w:rPr>
          <w:sz w:val="24"/>
          <w:szCs w:val="24"/>
        </w:rPr>
        <w:t>B – Youth Program</w:t>
      </w:r>
    </w:p>
    <w:p w14:paraId="252569AE" w14:textId="77777777" w:rsidR="00A93806" w:rsidRPr="002924DA" w:rsidRDefault="00A93806" w:rsidP="009F0DBF">
      <w:pPr>
        <w:pStyle w:val="ListParagraph"/>
        <w:spacing w:line="276" w:lineRule="auto"/>
        <w:jc w:val="both"/>
        <w:rPr>
          <w:sz w:val="24"/>
          <w:szCs w:val="24"/>
        </w:rPr>
      </w:pPr>
    </w:p>
    <w:p w14:paraId="34A6832E" w14:textId="292EE639" w:rsidR="00C624E7" w:rsidRPr="002924DA" w:rsidRDefault="00A93806" w:rsidP="009F0DBF">
      <w:pPr>
        <w:jc w:val="both"/>
        <w:rPr>
          <w:rFonts w:ascii="Times New Roman" w:hAnsi="Times New Roman" w:cs="Times New Roman"/>
          <w:b/>
          <w:sz w:val="24"/>
          <w:szCs w:val="24"/>
          <w:u w:val="single"/>
        </w:rPr>
      </w:pPr>
      <w:r w:rsidRPr="002924DA">
        <w:rPr>
          <w:rFonts w:ascii="Times New Roman" w:hAnsi="Times New Roman" w:cs="Times New Roman"/>
          <w:b/>
          <w:sz w:val="24"/>
          <w:szCs w:val="24"/>
          <w:u w:val="single"/>
        </w:rPr>
        <w:t xml:space="preserve">On Site </w:t>
      </w:r>
      <w:r w:rsidR="007B3F6B" w:rsidRPr="002924DA">
        <w:rPr>
          <w:rFonts w:ascii="Times New Roman" w:hAnsi="Times New Roman" w:cs="Times New Roman"/>
          <w:b/>
          <w:sz w:val="24"/>
          <w:szCs w:val="24"/>
          <w:u w:val="single"/>
        </w:rPr>
        <w:t xml:space="preserve">or Virtual </w:t>
      </w:r>
      <w:r w:rsidRPr="002924DA">
        <w:rPr>
          <w:rFonts w:ascii="Times New Roman" w:hAnsi="Times New Roman" w:cs="Times New Roman"/>
          <w:b/>
          <w:sz w:val="24"/>
          <w:szCs w:val="24"/>
          <w:u w:val="single"/>
        </w:rPr>
        <w:t>Monitoring</w:t>
      </w:r>
      <w:r w:rsidR="00D611D1">
        <w:rPr>
          <w:rFonts w:ascii="Times New Roman" w:hAnsi="Times New Roman" w:cs="Times New Roman"/>
          <w:b/>
          <w:sz w:val="24"/>
          <w:szCs w:val="24"/>
          <w:u w:val="single"/>
        </w:rPr>
        <w:t xml:space="preserve"> </w:t>
      </w:r>
    </w:p>
    <w:p w14:paraId="3D04C26B" w14:textId="4AA69671" w:rsidR="00A93806" w:rsidRPr="002924DA" w:rsidRDefault="00A93806" w:rsidP="009F0DBF">
      <w:pPr>
        <w:spacing w:after="181" w:line="248" w:lineRule="auto"/>
        <w:ind w:left="9" w:right="11" w:hanging="9"/>
        <w:jc w:val="both"/>
        <w:rPr>
          <w:rFonts w:ascii="Times New Roman" w:eastAsia="Times New Roman" w:hAnsi="Times New Roman" w:cs="Times New Roman"/>
          <w:color w:val="000000"/>
          <w:sz w:val="24"/>
          <w:szCs w:val="24"/>
        </w:rPr>
      </w:pPr>
      <w:r w:rsidRPr="3930D632">
        <w:rPr>
          <w:rFonts w:ascii="Times New Roman" w:eastAsia="Times New Roman" w:hAnsi="Times New Roman" w:cs="Times New Roman"/>
          <w:color w:val="000000" w:themeColor="text1"/>
          <w:sz w:val="24"/>
          <w:szCs w:val="24"/>
        </w:rPr>
        <w:t xml:space="preserve">Monitors will conduct two kinds of monitoring reviews of each </w:t>
      </w:r>
      <w:r w:rsidR="001947A1" w:rsidRPr="3930D632">
        <w:rPr>
          <w:rFonts w:ascii="Times New Roman" w:eastAsia="Times New Roman" w:hAnsi="Times New Roman" w:cs="Times New Roman"/>
          <w:color w:val="000000" w:themeColor="text1"/>
          <w:sz w:val="24"/>
          <w:szCs w:val="24"/>
        </w:rPr>
        <w:t>Local Area Workforce Development Board</w:t>
      </w:r>
      <w:r w:rsidR="00096315">
        <w:rPr>
          <w:rFonts w:ascii="Times New Roman" w:eastAsia="Times New Roman" w:hAnsi="Times New Roman" w:cs="Times New Roman"/>
          <w:color w:val="000000" w:themeColor="text1"/>
          <w:sz w:val="24"/>
          <w:szCs w:val="24"/>
        </w:rPr>
        <w:t xml:space="preserve"> (WDB)</w:t>
      </w:r>
      <w:r w:rsidR="001947A1" w:rsidRPr="3930D632">
        <w:rPr>
          <w:rFonts w:ascii="Times New Roman" w:eastAsia="Times New Roman" w:hAnsi="Times New Roman" w:cs="Times New Roman"/>
          <w:color w:val="000000" w:themeColor="text1"/>
          <w:sz w:val="24"/>
          <w:szCs w:val="24"/>
        </w:rPr>
        <w:t xml:space="preserve"> </w:t>
      </w:r>
      <w:r w:rsidRPr="3930D632">
        <w:rPr>
          <w:rFonts w:ascii="Times New Roman" w:eastAsia="Times New Roman" w:hAnsi="Times New Roman" w:cs="Times New Roman"/>
          <w:color w:val="000000" w:themeColor="text1"/>
          <w:sz w:val="24"/>
          <w:szCs w:val="24"/>
        </w:rPr>
        <w:t xml:space="preserve">annually which includes a fiscal review and a programmatic review.  The purpose of these reviews is to identify the strengths and weaknesses of </w:t>
      </w:r>
      <w:r w:rsidR="009012C9">
        <w:rPr>
          <w:rFonts w:ascii="Times New Roman" w:eastAsia="Times New Roman" w:hAnsi="Times New Roman" w:cs="Times New Roman"/>
          <w:color w:val="000000" w:themeColor="text1"/>
          <w:sz w:val="24"/>
          <w:szCs w:val="24"/>
        </w:rPr>
        <w:t>WDB</w:t>
      </w:r>
      <w:r w:rsidRPr="3930D632">
        <w:rPr>
          <w:rFonts w:ascii="Times New Roman" w:eastAsia="Times New Roman" w:hAnsi="Times New Roman" w:cs="Times New Roman"/>
          <w:color w:val="000000" w:themeColor="text1"/>
          <w:sz w:val="24"/>
          <w:szCs w:val="24"/>
        </w:rPr>
        <w:t xml:space="preserve"> implementation of the </w:t>
      </w:r>
      <w:r w:rsidR="007E1B21" w:rsidRPr="3930D632">
        <w:rPr>
          <w:rFonts w:ascii="Times New Roman" w:eastAsia="Times New Roman" w:hAnsi="Times New Roman" w:cs="Times New Roman"/>
          <w:color w:val="000000" w:themeColor="text1"/>
          <w:sz w:val="24"/>
          <w:szCs w:val="24"/>
        </w:rPr>
        <w:t>WIOA</w:t>
      </w:r>
      <w:r w:rsidRPr="3930D632">
        <w:rPr>
          <w:rFonts w:ascii="Times New Roman" w:eastAsia="Times New Roman" w:hAnsi="Times New Roman" w:cs="Times New Roman"/>
          <w:color w:val="000000" w:themeColor="text1"/>
          <w:sz w:val="24"/>
          <w:szCs w:val="24"/>
        </w:rPr>
        <w:t>.  The main mechanisms by which monitors will collect information include data sampling and validation; case file reviews; formal requests for information and documentation; and invoice testing.</w:t>
      </w:r>
      <w:r w:rsidR="00441662" w:rsidRPr="3930D632">
        <w:rPr>
          <w:rFonts w:ascii="Times New Roman" w:eastAsia="Times New Roman" w:hAnsi="Times New Roman" w:cs="Times New Roman"/>
          <w:color w:val="000000" w:themeColor="text1"/>
          <w:sz w:val="24"/>
          <w:szCs w:val="24"/>
        </w:rPr>
        <w:t xml:space="preserve"> Other mechanisms by which to gather information</w:t>
      </w:r>
      <w:r w:rsidR="00964E9D" w:rsidRPr="3930D632">
        <w:rPr>
          <w:rFonts w:ascii="Times New Roman" w:eastAsia="Times New Roman" w:hAnsi="Times New Roman" w:cs="Times New Roman"/>
          <w:color w:val="000000" w:themeColor="text1"/>
          <w:sz w:val="24"/>
          <w:szCs w:val="24"/>
        </w:rPr>
        <w:t xml:space="preserve"> may be utilized by the monitors. </w:t>
      </w:r>
    </w:p>
    <w:p w14:paraId="31E0A144" w14:textId="092D08A7" w:rsidR="00012455" w:rsidRPr="002924DA" w:rsidRDefault="00012455" w:rsidP="009F0DBF">
      <w:pPr>
        <w:jc w:val="both"/>
        <w:rPr>
          <w:rFonts w:ascii="Times New Roman" w:hAnsi="Times New Roman" w:cs="Times New Roman"/>
          <w:b/>
          <w:sz w:val="24"/>
          <w:szCs w:val="24"/>
          <w:u w:val="single"/>
        </w:rPr>
      </w:pPr>
      <w:r w:rsidRPr="002924DA">
        <w:rPr>
          <w:rFonts w:ascii="Times New Roman" w:hAnsi="Times New Roman" w:cs="Times New Roman"/>
          <w:b/>
          <w:sz w:val="24"/>
          <w:szCs w:val="24"/>
          <w:u w:val="single"/>
        </w:rPr>
        <w:t>Scope</w:t>
      </w:r>
    </w:p>
    <w:p w14:paraId="5D3A3808" w14:textId="7965B5F7" w:rsidR="00012455" w:rsidRDefault="007B3F6B" w:rsidP="009F0DBF">
      <w:pPr>
        <w:jc w:val="both"/>
        <w:rPr>
          <w:rFonts w:ascii="Times New Roman" w:hAnsi="Times New Roman" w:cs="Times New Roman"/>
          <w:bCs/>
          <w:sz w:val="24"/>
          <w:szCs w:val="24"/>
        </w:rPr>
      </w:pPr>
      <w:r w:rsidRPr="002924DA">
        <w:rPr>
          <w:rFonts w:ascii="Times New Roman" w:hAnsi="Times New Roman" w:cs="Times New Roman"/>
          <w:bCs/>
          <w:sz w:val="24"/>
          <w:szCs w:val="24"/>
        </w:rPr>
        <w:t>The DWS</w:t>
      </w:r>
      <w:r w:rsidR="00012455" w:rsidRPr="002924DA">
        <w:rPr>
          <w:rFonts w:ascii="Times New Roman" w:hAnsi="Times New Roman" w:cs="Times New Roman"/>
          <w:bCs/>
          <w:sz w:val="24"/>
          <w:szCs w:val="24"/>
        </w:rPr>
        <w:t xml:space="preserve"> will monitor the </w:t>
      </w:r>
      <w:r w:rsidRPr="002924DA">
        <w:rPr>
          <w:rFonts w:ascii="Times New Roman" w:hAnsi="Times New Roman" w:cs="Times New Roman"/>
          <w:bCs/>
          <w:sz w:val="24"/>
          <w:szCs w:val="24"/>
        </w:rPr>
        <w:t>WDB’s</w:t>
      </w:r>
      <w:r w:rsidR="00012455" w:rsidRPr="002924DA">
        <w:rPr>
          <w:rFonts w:ascii="Times New Roman" w:hAnsi="Times New Roman" w:cs="Times New Roman"/>
          <w:bCs/>
          <w:sz w:val="24"/>
          <w:szCs w:val="24"/>
        </w:rPr>
        <w:t xml:space="preserve"> WIOA Program Year activities-to-date in three major subject areas (Review Areas):</w:t>
      </w:r>
    </w:p>
    <w:p w14:paraId="4BAD21B4" w14:textId="3705E3B5" w:rsidR="00012455" w:rsidRPr="002924DA" w:rsidRDefault="00C66BE3" w:rsidP="009F0DBF">
      <w:pPr>
        <w:pStyle w:val="ListParagraph"/>
        <w:numPr>
          <w:ilvl w:val="0"/>
          <w:numId w:val="37"/>
        </w:numPr>
        <w:jc w:val="both"/>
        <w:rPr>
          <w:bCs/>
          <w:sz w:val="24"/>
          <w:szCs w:val="24"/>
        </w:rPr>
      </w:pPr>
      <w:r w:rsidRPr="002924DA">
        <w:rPr>
          <w:bCs/>
          <w:sz w:val="24"/>
          <w:szCs w:val="24"/>
          <w:u w:val="single"/>
        </w:rPr>
        <w:t>Administrative and Financial Management</w:t>
      </w:r>
      <w:r w:rsidRPr="002924DA">
        <w:rPr>
          <w:bCs/>
          <w:sz w:val="24"/>
          <w:szCs w:val="24"/>
        </w:rPr>
        <w:t xml:space="preserve">. This </w:t>
      </w:r>
      <w:r w:rsidR="007B3F6B" w:rsidRPr="002924DA">
        <w:rPr>
          <w:bCs/>
          <w:sz w:val="24"/>
          <w:szCs w:val="24"/>
        </w:rPr>
        <w:t>r</w:t>
      </w:r>
      <w:r w:rsidRPr="002924DA">
        <w:rPr>
          <w:bCs/>
          <w:sz w:val="24"/>
          <w:szCs w:val="24"/>
        </w:rPr>
        <w:t xml:space="preserve">eview </w:t>
      </w:r>
      <w:r w:rsidR="007B3F6B" w:rsidRPr="002924DA">
        <w:rPr>
          <w:bCs/>
          <w:sz w:val="24"/>
          <w:szCs w:val="24"/>
        </w:rPr>
        <w:t>a</w:t>
      </w:r>
      <w:r w:rsidRPr="002924DA">
        <w:rPr>
          <w:bCs/>
          <w:sz w:val="24"/>
          <w:szCs w:val="24"/>
        </w:rPr>
        <w:t xml:space="preserve">rea includes, but is not limited to, an evaluation of the WDB and subcommittees, the </w:t>
      </w:r>
      <w:r w:rsidR="007B3F6B" w:rsidRPr="002924DA">
        <w:rPr>
          <w:bCs/>
          <w:sz w:val="24"/>
          <w:szCs w:val="24"/>
        </w:rPr>
        <w:t>NCWorks</w:t>
      </w:r>
      <w:r w:rsidRPr="002924DA">
        <w:rPr>
          <w:bCs/>
          <w:sz w:val="24"/>
          <w:szCs w:val="24"/>
        </w:rPr>
        <w:t xml:space="preserve"> system, administrative and financial policies and practices, and subrecipient monitoring and oversight according to applicable federal and state legislation, regulations, policies and guidance, and OMB Circulars and Uniform Guidance. </w:t>
      </w:r>
      <w:r w:rsidR="007B3F6B" w:rsidRPr="002924DA">
        <w:rPr>
          <w:bCs/>
          <w:sz w:val="24"/>
          <w:szCs w:val="24"/>
        </w:rPr>
        <w:t>The DWS</w:t>
      </w:r>
      <w:r w:rsidRPr="002924DA">
        <w:rPr>
          <w:bCs/>
          <w:sz w:val="24"/>
          <w:szCs w:val="24"/>
        </w:rPr>
        <w:t xml:space="preserve"> staff </w:t>
      </w:r>
      <w:r w:rsidR="00043B83">
        <w:rPr>
          <w:bCs/>
          <w:sz w:val="24"/>
          <w:szCs w:val="24"/>
        </w:rPr>
        <w:t>may</w:t>
      </w:r>
      <w:r w:rsidRPr="002924DA">
        <w:rPr>
          <w:bCs/>
          <w:sz w:val="24"/>
          <w:szCs w:val="24"/>
        </w:rPr>
        <w:t xml:space="preserve"> conduct this evaluation via document review and sample selection.</w:t>
      </w:r>
    </w:p>
    <w:p w14:paraId="52321B00" w14:textId="77777777" w:rsidR="007B3F6B" w:rsidRPr="002924DA" w:rsidRDefault="007B3F6B" w:rsidP="009F0DBF">
      <w:pPr>
        <w:pStyle w:val="ListParagraph"/>
        <w:jc w:val="both"/>
        <w:rPr>
          <w:bCs/>
          <w:sz w:val="24"/>
          <w:szCs w:val="24"/>
        </w:rPr>
      </w:pPr>
    </w:p>
    <w:p w14:paraId="13AAB9C5" w14:textId="77FD6FFE" w:rsidR="00C66BE3" w:rsidRPr="002924DA" w:rsidRDefault="00C66BE3" w:rsidP="009F0DBF">
      <w:pPr>
        <w:pStyle w:val="ListParagraph"/>
        <w:numPr>
          <w:ilvl w:val="0"/>
          <w:numId w:val="37"/>
        </w:numPr>
        <w:jc w:val="both"/>
        <w:rPr>
          <w:bCs/>
          <w:sz w:val="24"/>
          <w:szCs w:val="24"/>
        </w:rPr>
      </w:pPr>
      <w:r w:rsidRPr="002924DA">
        <w:rPr>
          <w:bCs/>
          <w:sz w:val="24"/>
          <w:szCs w:val="24"/>
          <w:u w:val="single"/>
        </w:rPr>
        <w:t>Workforce Development Programs</w:t>
      </w:r>
      <w:r w:rsidRPr="002924DA">
        <w:rPr>
          <w:bCs/>
          <w:sz w:val="24"/>
          <w:szCs w:val="24"/>
        </w:rPr>
        <w:t xml:space="preserve">. This </w:t>
      </w:r>
      <w:r w:rsidR="007B3F6B" w:rsidRPr="002924DA">
        <w:rPr>
          <w:bCs/>
          <w:sz w:val="24"/>
          <w:szCs w:val="24"/>
        </w:rPr>
        <w:t>r</w:t>
      </w:r>
      <w:r w:rsidRPr="002924DA">
        <w:rPr>
          <w:bCs/>
          <w:sz w:val="24"/>
          <w:szCs w:val="24"/>
        </w:rPr>
        <w:t xml:space="preserve">eview </w:t>
      </w:r>
      <w:r w:rsidR="007B3F6B" w:rsidRPr="002924DA">
        <w:rPr>
          <w:bCs/>
          <w:sz w:val="24"/>
          <w:szCs w:val="24"/>
        </w:rPr>
        <w:t>a</w:t>
      </w:r>
      <w:r w:rsidRPr="002924DA">
        <w:rPr>
          <w:bCs/>
          <w:sz w:val="24"/>
          <w:szCs w:val="24"/>
        </w:rPr>
        <w:t>rea includes, but is not limited to, an evaluation of the W</w:t>
      </w:r>
      <w:r w:rsidR="007B3F6B" w:rsidRPr="002924DA">
        <w:rPr>
          <w:bCs/>
          <w:sz w:val="24"/>
          <w:szCs w:val="24"/>
        </w:rPr>
        <w:t>DB</w:t>
      </w:r>
      <w:r w:rsidRPr="002924DA">
        <w:rPr>
          <w:bCs/>
          <w:sz w:val="24"/>
          <w:szCs w:val="24"/>
        </w:rPr>
        <w:t xml:space="preserve">’s programs and services to eligible participants pursuant to WIOA requirements and related federal and state legislation, regulations, policies and guidance, and OMB Circulars and Uniform Guidance. </w:t>
      </w:r>
      <w:r w:rsidR="007B3F6B" w:rsidRPr="002924DA">
        <w:rPr>
          <w:bCs/>
          <w:sz w:val="24"/>
          <w:szCs w:val="24"/>
        </w:rPr>
        <w:t>The DWS</w:t>
      </w:r>
      <w:r w:rsidRPr="002924DA">
        <w:rPr>
          <w:bCs/>
          <w:sz w:val="24"/>
          <w:szCs w:val="24"/>
        </w:rPr>
        <w:t xml:space="preserve"> staff </w:t>
      </w:r>
      <w:r w:rsidR="00043B83">
        <w:rPr>
          <w:bCs/>
          <w:sz w:val="24"/>
          <w:szCs w:val="24"/>
        </w:rPr>
        <w:t>may</w:t>
      </w:r>
      <w:r w:rsidRPr="002924DA">
        <w:rPr>
          <w:bCs/>
          <w:sz w:val="24"/>
          <w:szCs w:val="24"/>
        </w:rPr>
        <w:t xml:space="preserve"> utilize random electronic sampling to examine Adult, Dislocated Worker, and Youth participant files for proper maintenance and content, inclusion of pertinent forms and data, appropriate and adequate case notes to ensure continuity from time of application through completion of services, as well as verification that all relevant data has been entered into the case management system. </w:t>
      </w:r>
    </w:p>
    <w:p w14:paraId="33E71169" w14:textId="77777777" w:rsidR="00F44EAA" w:rsidRPr="002924DA" w:rsidRDefault="00F44EAA" w:rsidP="009F0DBF">
      <w:pPr>
        <w:pStyle w:val="ListParagraph"/>
        <w:jc w:val="both"/>
        <w:rPr>
          <w:bCs/>
          <w:sz w:val="24"/>
          <w:szCs w:val="24"/>
        </w:rPr>
      </w:pPr>
    </w:p>
    <w:p w14:paraId="539AB6C8" w14:textId="50BE49ED" w:rsidR="00C66BE3" w:rsidRPr="002924DA" w:rsidRDefault="00C66BE3" w:rsidP="009F0DBF">
      <w:pPr>
        <w:pStyle w:val="ListParagraph"/>
        <w:numPr>
          <w:ilvl w:val="0"/>
          <w:numId w:val="37"/>
        </w:numPr>
        <w:jc w:val="both"/>
        <w:rPr>
          <w:bCs/>
          <w:sz w:val="24"/>
          <w:szCs w:val="24"/>
        </w:rPr>
      </w:pPr>
      <w:r w:rsidRPr="002924DA">
        <w:rPr>
          <w:bCs/>
          <w:sz w:val="24"/>
          <w:szCs w:val="24"/>
          <w:u w:val="single"/>
        </w:rPr>
        <w:t>Performance.</w:t>
      </w:r>
      <w:r w:rsidRPr="002924DA">
        <w:rPr>
          <w:bCs/>
          <w:sz w:val="24"/>
          <w:szCs w:val="24"/>
        </w:rPr>
        <w:t xml:space="preserve"> This </w:t>
      </w:r>
      <w:r w:rsidR="00F44EAA" w:rsidRPr="002924DA">
        <w:rPr>
          <w:bCs/>
          <w:sz w:val="24"/>
          <w:szCs w:val="24"/>
        </w:rPr>
        <w:t>r</w:t>
      </w:r>
      <w:r w:rsidRPr="002924DA">
        <w:rPr>
          <w:bCs/>
          <w:sz w:val="24"/>
          <w:szCs w:val="24"/>
        </w:rPr>
        <w:t xml:space="preserve">eview </w:t>
      </w:r>
      <w:r w:rsidR="00F44EAA" w:rsidRPr="002924DA">
        <w:rPr>
          <w:bCs/>
          <w:sz w:val="24"/>
          <w:szCs w:val="24"/>
        </w:rPr>
        <w:t>a</w:t>
      </w:r>
      <w:r w:rsidRPr="002924DA">
        <w:rPr>
          <w:bCs/>
          <w:sz w:val="24"/>
          <w:szCs w:val="24"/>
        </w:rPr>
        <w:t>rea includes, but is not limited to, an examination regarding how the W</w:t>
      </w:r>
      <w:r w:rsidR="00F44EAA" w:rsidRPr="002924DA">
        <w:rPr>
          <w:bCs/>
          <w:sz w:val="24"/>
          <w:szCs w:val="24"/>
        </w:rPr>
        <w:t>DB</w:t>
      </w:r>
      <w:r w:rsidRPr="002924DA">
        <w:rPr>
          <w:bCs/>
          <w:sz w:val="24"/>
          <w:szCs w:val="24"/>
        </w:rPr>
        <w:t xml:space="preserve"> has performed against applicable performance requirements.</w:t>
      </w:r>
    </w:p>
    <w:p w14:paraId="79944728" w14:textId="77777777" w:rsidR="00C66BE3" w:rsidRPr="002924DA" w:rsidRDefault="00C66BE3" w:rsidP="009F0DBF">
      <w:pPr>
        <w:pStyle w:val="ListParagraph"/>
        <w:jc w:val="both"/>
        <w:rPr>
          <w:bCs/>
          <w:sz w:val="24"/>
          <w:szCs w:val="24"/>
        </w:rPr>
      </w:pPr>
    </w:p>
    <w:p w14:paraId="1A817B10" w14:textId="76D82982" w:rsidR="00A93806" w:rsidRPr="002924DA" w:rsidRDefault="00A93806" w:rsidP="009F0DBF">
      <w:pPr>
        <w:jc w:val="both"/>
        <w:rPr>
          <w:rFonts w:ascii="Times New Roman" w:eastAsia="Calibri" w:hAnsi="Times New Roman" w:cs="Times New Roman"/>
          <w:b/>
          <w:bCs/>
          <w:iCs/>
          <w:spacing w:val="5"/>
          <w:sz w:val="24"/>
          <w:szCs w:val="24"/>
          <w:u w:val="single"/>
        </w:rPr>
      </w:pPr>
      <w:r w:rsidRPr="002924DA">
        <w:rPr>
          <w:rFonts w:ascii="Times New Roman" w:eastAsia="Calibri" w:hAnsi="Times New Roman" w:cs="Times New Roman"/>
          <w:b/>
          <w:bCs/>
          <w:spacing w:val="5"/>
          <w:sz w:val="24"/>
          <w:szCs w:val="24"/>
          <w:u w:val="single"/>
        </w:rPr>
        <w:t>Monitoring Tools (Questionnaires and Checklists)</w:t>
      </w:r>
    </w:p>
    <w:p w14:paraId="753C0901" w14:textId="393E3978" w:rsidR="00A93806" w:rsidRDefault="00AF34CE" w:rsidP="009F0DBF">
      <w:pPr>
        <w:spacing w:line="276" w:lineRule="auto"/>
        <w:jc w:val="both"/>
        <w:rPr>
          <w:rFonts w:ascii="Times New Roman" w:eastAsia="Calibri" w:hAnsi="Times New Roman" w:cs="Times New Roman"/>
          <w:sz w:val="24"/>
          <w:szCs w:val="24"/>
        </w:rPr>
      </w:pPr>
      <w:r w:rsidRPr="002924DA">
        <w:rPr>
          <w:rFonts w:ascii="Times New Roman" w:eastAsia="Calibri" w:hAnsi="Times New Roman" w:cs="Times New Roman"/>
          <w:bCs/>
          <w:iCs/>
          <w:sz w:val="24"/>
          <w:szCs w:val="24"/>
        </w:rPr>
        <w:t>Q</w:t>
      </w:r>
      <w:r w:rsidR="00A93806" w:rsidRPr="002924DA">
        <w:rPr>
          <w:rFonts w:ascii="Times New Roman" w:eastAsia="Calibri" w:hAnsi="Times New Roman" w:cs="Times New Roman"/>
          <w:bCs/>
          <w:iCs/>
          <w:sz w:val="24"/>
          <w:szCs w:val="24"/>
        </w:rPr>
        <w:t xml:space="preserve">uestionnaires are used to elicit information from </w:t>
      </w:r>
      <w:r w:rsidR="00BA0E23">
        <w:rPr>
          <w:rFonts w:ascii="Times New Roman" w:eastAsia="Calibri" w:hAnsi="Times New Roman" w:cs="Times New Roman"/>
          <w:bCs/>
          <w:iCs/>
          <w:sz w:val="24"/>
          <w:szCs w:val="24"/>
        </w:rPr>
        <w:t xml:space="preserve">WDB </w:t>
      </w:r>
      <w:r w:rsidR="00A93806" w:rsidRPr="002924DA">
        <w:rPr>
          <w:rFonts w:ascii="Times New Roman" w:eastAsia="Calibri" w:hAnsi="Times New Roman" w:cs="Times New Roman"/>
          <w:bCs/>
          <w:iCs/>
          <w:sz w:val="24"/>
          <w:szCs w:val="24"/>
        </w:rPr>
        <w:t>staff.</w:t>
      </w:r>
      <w:r w:rsidR="00A93806" w:rsidRPr="002924DA">
        <w:rPr>
          <w:rFonts w:ascii="Times New Roman" w:eastAsia="Calibri" w:hAnsi="Times New Roman" w:cs="Times New Roman"/>
          <w:b/>
          <w:i/>
          <w:sz w:val="24"/>
          <w:szCs w:val="24"/>
        </w:rPr>
        <w:t xml:space="preserve">  </w:t>
      </w:r>
      <w:r w:rsidR="00A93806" w:rsidRPr="002924DA">
        <w:rPr>
          <w:rFonts w:ascii="Times New Roman" w:eastAsia="Calibri" w:hAnsi="Times New Roman" w:cs="Times New Roman"/>
          <w:sz w:val="24"/>
          <w:szCs w:val="24"/>
        </w:rPr>
        <w:t xml:space="preserve">The questions focus on specific program elements and may include citations of regulations and guidance pertaining to the program element being reviewed.   </w:t>
      </w:r>
      <w:r w:rsidR="00F44EAA" w:rsidRPr="002924DA">
        <w:rPr>
          <w:rFonts w:ascii="Times New Roman" w:eastAsia="Calibri" w:hAnsi="Times New Roman" w:cs="Times New Roman"/>
          <w:sz w:val="24"/>
          <w:szCs w:val="24"/>
        </w:rPr>
        <w:t xml:space="preserve">The </w:t>
      </w:r>
      <w:r w:rsidR="006E6570">
        <w:rPr>
          <w:rFonts w:ascii="Times New Roman" w:eastAsia="Calibri" w:hAnsi="Times New Roman" w:cs="Times New Roman"/>
          <w:sz w:val="24"/>
          <w:szCs w:val="24"/>
        </w:rPr>
        <w:t>m</w:t>
      </w:r>
      <w:r w:rsidR="00F44EAA" w:rsidRPr="002924DA">
        <w:rPr>
          <w:rFonts w:ascii="Times New Roman" w:eastAsia="Calibri" w:hAnsi="Times New Roman" w:cs="Times New Roman"/>
          <w:sz w:val="24"/>
          <w:szCs w:val="24"/>
        </w:rPr>
        <w:t>onitors will also use</w:t>
      </w:r>
      <w:r w:rsidR="00D02040">
        <w:rPr>
          <w:rFonts w:ascii="Times New Roman" w:eastAsia="Calibri" w:hAnsi="Times New Roman" w:cs="Times New Roman"/>
          <w:sz w:val="24"/>
          <w:szCs w:val="24"/>
        </w:rPr>
        <w:t>, but are not limited to,</w:t>
      </w:r>
      <w:r w:rsidR="00F44EAA" w:rsidRPr="002924DA">
        <w:rPr>
          <w:rFonts w:ascii="Times New Roman" w:eastAsia="Calibri" w:hAnsi="Times New Roman" w:cs="Times New Roman"/>
          <w:sz w:val="24"/>
          <w:szCs w:val="24"/>
        </w:rPr>
        <w:t xml:space="preserve"> the Oversight Guide, Participant Checklist, and other working papers as deemed necessary. </w:t>
      </w:r>
    </w:p>
    <w:p w14:paraId="661A9AB0" w14:textId="0ADCB41C" w:rsidR="005C36FC" w:rsidRDefault="005C36FC" w:rsidP="009F0DBF">
      <w:pPr>
        <w:spacing w:line="276" w:lineRule="auto"/>
        <w:jc w:val="both"/>
        <w:rPr>
          <w:rFonts w:ascii="Times New Roman" w:eastAsia="Calibri" w:hAnsi="Times New Roman" w:cs="Times New Roman"/>
          <w:sz w:val="24"/>
          <w:szCs w:val="24"/>
        </w:rPr>
      </w:pPr>
    </w:p>
    <w:p w14:paraId="5DFAFAF6" w14:textId="2F26DD3E" w:rsidR="00F21015" w:rsidRPr="007220E6" w:rsidRDefault="00A93806" w:rsidP="005C36FC">
      <w:pPr>
        <w:jc w:val="both"/>
        <w:rPr>
          <w:rFonts w:ascii="Times New Roman" w:hAnsi="Times New Roman" w:cs="Times New Roman"/>
          <w:sz w:val="24"/>
          <w:szCs w:val="24"/>
        </w:rPr>
      </w:pPr>
      <w:r w:rsidRPr="002924DA">
        <w:rPr>
          <w:rStyle w:val="Strong"/>
          <w:rFonts w:ascii="Times New Roman" w:hAnsi="Times New Roman" w:cs="Times New Roman"/>
          <w:sz w:val="24"/>
          <w:szCs w:val="24"/>
          <w:u w:val="single"/>
        </w:rPr>
        <w:lastRenderedPageBreak/>
        <w:t>Documenting Findings, Observations and Technical Assistance</w:t>
      </w:r>
      <w:r w:rsidR="00F21015">
        <w:rPr>
          <w:rFonts w:ascii="Times New Roman" w:hAnsi="Times New Roman" w:cs="Times New Roman"/>
          <w:sz w:val="24"/>
          <w:szCs w:val="24"/>
        </w:rPr>
        <w:tab/>
      </w:r>
    </w:p>
    <w:p w14:paraId="44587FA7" w14:textId="22A2400F" w:rsidR="00A93806" w:rsidRPr="00044DDB" w:rsidRDefault="00A93806" w:rsidP="00044DDB">
      <w:pPr>
        <w:spacing w:after="0" w:line="276" w:lineRule="auto"/>
        <w:jc w:val="both"/>
        <w:rPr>
          <w:rFonts w:ascii="Times New Roman" w:hAnsi="Times New Roman" w:cs="Times New Roman"/>
          <w:sz w:val="24"/>
          <w:szCs w:val="24"/>
        </w:rPr>
      </w:pPr>
      <w:bookmarkStart w:id="3" w:name="_Hlk70597610"/>
      <w:r w:rsidRPr="00044DDB">
        <w:rPr>
          <w:rFonts w:ascii="Times New Roman" w:hAnsi="Times New Roman" w:cs="Times New Roman"/>
          <w:bCs/>
          <w:iCs/>
          <w:sz w:val="24"/>
          <w:szCs w:val="24"/>
        </w:rPr>
        <w:t>A finding is</w:t>
      </w:r>
      <w:r w:rsidRPr="00044DDB">
        <w:rPr>
          <w:rFonts w:ascii="Times New Roman" w:hAnsi="Times New Roman" w:cs="Times New Roman"/>
          <w:sz w:val="24"/>
          <w:szCs w:val="24"/>
        </w:rPr>
        <w:t xml:space="preserve"> any violation of law, regulation, formal guidance, award agreement condition, or policy and requires immediate corrective action</w:t>
      </w:r>
      <w:r w:rsidR="002D1D68" w:rsidRPr="00044DDB">
        <w:rPr>
          <w:rFonts w:ascii="Times New Roman" w:hAnsi="Times New Roman" w:cs="Times New Roman"/>
          <w:sz w:val="24"/>
          <w:szCs w:val="24"/>
        </w:rPr>
        <w:t>, including</w:t>
      </w:r>
      <w:r w:rsidRPr="00044DDB">
        <w:rPr>
          <w:rFonts w:ascii="Times New Roman" w:hAnsi="Times New Roman" w:cs="Times New Roman"/>
          <w:sz w:val="24"/>
          <w:szCs w:val="24"/>
        </w:rPr>
        <w:t xml:space="preserve"> </w:t>
      </w:r>
      <w:r w:rsidR="008D45EB">
        <w:rPr>
          <w:rFonts w:ascii="Times New Roman" w:hAnsi="Times New Roman" w:cs="Times New Roman"/>
          <w:sz w:val="24"/>
          <w:szCs w:val="24"/>
        </w:rPr>
        <w:t>t</w:t>
      </w:r>
      <w:r w:rsidRPr="00044DDB">
        <w:rPr>
          <w:rFonts w:ascii="Times New Roman" w:hAnsi="Times New Roman" w:cs="Times New Roman"/>
          <w:sz w:val="24"/>
          <w:szCs w:val="24"/>
        </w:rPr>
        <w:t xml:space="preserve">he </w:t>
      </w:r>
      <w:r w:rsidR="00D65C51">
        <w:rPr>
          <w:rFonts w:ascii="Times New Roman" w:hAnsi="Times New Roman" w:cs="Times New Roman"/>
          <w:sz w:val="24"/>
          <w:szCs w:val="24"/>
        </w:rPr>
        <w:t>WIOA</w:t>
      </w:r>
      <w:r w:rsidRPr="00044DDB">
        <w:rPr>
          <w:rFonts w:ascii="Times New Roman" w:hAnsi="Times New Roman" w:cs="Times New Roman"/>
          <w:sz w:val="24"/>
          <w:szCs w:val="24"/>
        </w:rPr>
        <w:t xml:space="preserve"> and ensuing appropriations bills;</w:t>
      </w:r>
    </w:p>
    <w:p w14:paraId="1226108C" w14:textId="1A67284C" w:rsidR="00A93806" w:rsidRPr="002924DA" w:rsidRDefault="00A93806" w:rsidP="009F0DBF">
      <w:pPr>
        <w:pStyle w:val="ListParagraph"/>
        <w:numPr>
          <w:ilvl w:val="0"/>
          <w:numId w:val="33"/>
        </w:numPr>
        <w:spacing w:after="160" w:line="276" w:lineRule="auto"/>
        <w:contextualSpacing/>
        <w:jc w:val="both"/>
        <w:rPr>
          <w:sz w:val="24"/>
          <w:szCs w:val="24"/>
        </w:rPr>
      </w:pPr>
      <w:r w:rsidRPr="002924DA">
        <w:rPr>
          <w:sz w:val="24"/>
          <w:szCs w:val="24"/>
        </w:rPr>
        <w:t>Program</w:t>
      </w:r>
      <w:r w:rsidR="009012C9">
        <w:rPr>
          <w:sz w:val="24"/>
          <w:szCs w:val="24"/>
        </w:rPr>
        <w:t>matic</w:t>
      </w:r>
      <w:r w:rsidRPr="002924DA">
        <w:rPr>
          <w:sz w:val="24"/>
          <w:szCs w:val="24"/>
        </w:rPr>
        <w:t>, administrative, and financial regulations identified in</w:t>
      </w:r>
    </w:p>
    <w:p w14:paraId="59558D65" w14:textId="501D73F6" w:rsidR="00A93806" w:rsidRPr="002924DA" w:rsidRDefault="00A93806" w:rsidP="009F0DBF">
      <w:pPr>
        <w:pStyle w:val="ListParagraph"/>
        <w:numPr>
          <w:ilvl w:val="1"/>
          <w:numId w:val="33"/>
        </w:numPr>
        <w:spacing w:after="160" w:line="276" w:lineRule="auto"/>
        <w:contextualSpacing/>
        <w:jc w:val="both"/>
        <w:rPr>
          <w:sz w:val="24"/>
          <w:szCs w:val="24"/>
        </w:rPr>
      </w:pPr>
      <w:r w:rsidRPr="002924DA">
        <w:rPr>
          <w:sz w:val="24"/>
          <w:szCs w:val="24"/>
        </w:rPr>
        <w:t xml:space="preserve">The WIOA </w:t>
      </w:r>
      <w:r w:rsidR="00FD4C1E">
        <w:rPr>
          <w:sz w:val="24"/>
          <w:szCs w:val="24"/>
        </w:rPr>
        <w:t>F</w:t>
      </w:r>
      <w:r w:rsidR="00FD4C1E" w:rsidRPr="002924DA">
        <w:rPr>
          <w:sz w:val="24"/>
          <w:szCs w:val="24"/>
        </w:rPr>
        <w:t xml:space="preserve">inal </w:t>
      </w:r>
      <w:r w:rsidR="00FD4C1E">
        <w:rPr>
          <w:sz w:val="24"/>
          <w:szCs w:val="24"/>
        </w:rPr>
        <w:t>R</w:t>
      </w:r>
      <w:r w:rsidR="00FD4C1E" w:rsidRPr="002924DA">
        <w:rPr>
          <w:sz w:val="24"/>
          <w:szCs w:val="24"/>
        </w:rPr>
        <w:t xml:space="preserve">ule </w:t>
      </w:r>
      <w:r w:rsidRPr="002924DA">
        <w:rPr>
          <w:sz w:val="24"/>
          <w:szCs w:val="24"/>
        </w:rPr>
        <w:t>20 CFR</w:t>
      </w:r>
      <w:r w:rsidR="00D65C51">
        <w:rPr>
          <w:sz w:val="24"/>
          <w:szCs w:val="24"/>
        </w:rPr>
        <w:t xml:space="preserve"> </w:t>
      </w:r>
      <w:r w:rsidR="00D65C51" w:rsidRPr="00A23DC8">
        <w:rPr>
          <w:bCs/>
          <w:spacing w:val="1"/>
        </w:rPr>
        <w:t>§§</w:t>
      </w:r>
      <w:r w:rsidR="00D65C51">
        <w:rPr>
          <w:bCs/>
          <w:spacing w:val="1"/>
        </w:rPr>
        <w:t xml:space="preserve"> </w:t>
      </w:r>
      <w:r w:rsidRPr="002924DA">
        <w:rPr>
          <w:sz w:val="24"/>
          <w:szCs w:val="24"/>
        </w:rPr>
        <w:t>651 through 688; and</w:t>
      </w:r>
    </w:p>
    <w:p w14:paraId="421E40EB" w14:textId="66CDD331" w:rsidR="00A93806" w:rsidRPr="002924DA" w:rsidRDefault="00A93806" w:rsidP="009F0DBF">
      <w:pPr>
        <w:pStyle w:val="ListParagraph"/>
        <w:numPr>
          <w:ilvl w:val="1"/>
          <w:numId w:val="33"/>
        </w:numPr>
        <w:spacing w:after="160" w:line="276" w:lineRule="auto"/>
        <w:contextualSpacing/>
        <w:jc w:val="both"/>
        <w:rPr>
          <w:sz w:val="24"/>
          <w:szCs w:val="24"/>
        </w:rPr>
      </w:pPr>
      <w:r w:rsidRPr="002924DA">
        <w:rPr>
          <w:sz w:val="24"/>
          <w:szCs w:val="24"/>
        </w:rPr>
        <w:t xml:space="preserve">The Uniform Guidance 2 CFR </w:t>
      </w:r>
      <w:r w:rsidR="00D65C51" w:rsidRPr="00A23DC8">
        <w:rPr>
          <w:bCs/>
          <w:spacing w:val="1"/>
        </w:rPr>
        <w:t>§</w:t>
      </w:r>
      <w:r w:rsidR="00D65C51">
        <w:rPr>
          <w:bCs/>
          <w:spacing w:val="1"/>
        </w:rPr>
        <w:t xml:space="preserve"> </w:t>
      </w:r>
      <w:r w:rsidRPr="002924DA">
        <w:rPr>
          <w:sz w:val="24"/>
          <w:szCs w:val="24"/>
        </w:rPr>
        <w:t xml:space="preserve">200 and 2 CFR </w:t>
      </w:r>
      <w:r w:rsidR="00D65C51" w:rsidRPr="00A23DC8">
        <w:rPr>
          <w:bCs/>
          <w:spacing w:val="1"/>
        </w:rPr>
        <w:t>§</w:t>
      </w:r>
      <w:r w:rsidR="00D65C51">
        <w:rPr>
          <w:bCs/>
          <w:spacing w:val="1"/>
        </w:rPr>
        <w:t xml:space="preserve"> </w:t>
      </w:r>
      <w:r w:rsidRPr="002924DA">
        <w:rPr>
          <w:sz w:val="24"/>
          <w:szCs w:val="24"/>
        </w:rPr>
        <w:t>2900; and</w:t>
      </w:r>
    </w:p>
    <w:p w14:paraId="1DAD606C" w14:textId="4CFEE0A8" w:rsidR="00A93806" w:rsidRPr="002924DA" w:rsidRDefault="00A93806" w:rsidP="009F0DBF">
      <w:pPr>
        <w:pStyle w:val="ListParagraph"/>
        <w:numPr>
          <w:ilvl w:val="0"/>
          <w:numId w:val="33"/>
        </w:numPr>
        <w:spacing w:after="160" w:line="276" w:lineRule="auto"/>
        <w:contextualSpacing/>
        <w:jc w:val="both"/>
        <w:rPr>
          <w:sz w:val="24"/>
          <w:szCs w:val="24"/>
        </w:rPr>
      </w:pPr>
      <w:r w:rsidRPr="002924DA">
        <w:rPr>
          <w:sz w:val="24"/>
          <w:szCs w:val="24"/>
        </w:rPr>
        <w:t xml:space="preserve">Violation of any formal guidance issued by </w:t>
      </w:r>
      <w:r w:rsidR="009012C9">
        <w:rPr>
          <w:sz w:val="24"/>
          <w:szCs w:val="24"/>
        </w:rPr>
        <w:t>United States Department of Labor (</w:t>
      </w:r>
      <w:r w:rsidRPr="002924DA">
        <w:rPr>
          <w:sz w:val="24"/>
          <w:szCs w:val="24"/>
        </w:rPr>
        <w:t>USDOL</w:t>
      </w:r>
      <w:r w:rsidR="009012C9">
        <w:rPr>
          <w:sz w:val="24"/>
          <w:szCs w:val="24"/>
        </w:rPr>
        <w:t>)</w:t>
      </w:r>
      <w:r w:rsidRPr="002924DA">
        <w:rPr>
          <w:sz w:val="24"/>
          <w:szCs w:val="24"/>
        </w:rPr>
        <w:t xml:space="preserve">, including: </w:t>
      </w:r>
    </w:p>
    <w:p w14:paraId="1F58DC0A" w14:textId="46FEB466" w:rsidR="00A93806" w:rsidRPr="002924DA" w:rsidRDefault="00A93806" w:rsidP="009F0DBF">
      <w:pPr>
        <w:pStyle w:val="ListParagraph"/>
        <w:numPr>
          <w:ilvl w:val="1"/>
          <w:numId w:val="33"/>
        </w:numPr>
        <w:spacing w:after="160" w:line="276" w:lineRule="auto"/>
        <w:contextualSpacing/>
        <w:jc w:val="both"/>
        <w:rPr>
          <w:sz w:val="24"/>
          <w:szCs w:val="24"/>
        </w:rPr>
      </w:pPr>
      <w:r w:rsidRPr="002924DA">
        <w:rPr>
          <w:sz w:val="24"/>
          <w:szCs w:val="24"/>
        </w:rPr>
        <w:t>TEGLs</w:t>
      </w:r>
      <w:r w:rsidR="008D45EB">
        <w:rPr>
          <w:sz w:val="24"/>
          <w:szCs w:val="24"/>
        </w:rPr>
        <w:t xml:space="preserve"> </w:t>
      </w:r>
      <w:r w:rsidRPr="002924DA">
        <w:rPr>
          <w:sz w:val="24"/>
          <w:szCs w:val="24"/>
        </w:rPr>
        <w:t xml:space="preserve">-Training and Employment Guidance Letters; </w:t>
      </w:r>
    </w:p>
    <w:p w14:paraId="2EFE2614" w14:textId="345B749D" w:rsidR="00A93806" w:rsidRPr="002924DA" w:rsidRDefault="00A93806" w:rsidP="009F0DBF">
      <w:pPr>
        <w:pStyle w:val="ListParagraph"/>
        <w:numPr>
          <w:ilvl w:val="1"/>
          <w:numId w:val="33"/>
        </w:numPr>
        <w:spacing w:after="160" w:line="276" w:lineRule="auto"/>
        <w:contextualSpacing/>
        <w:jc w:val="both"/>
        <w:rPr>
          <w:sz w:val="24"/>
          <w:szCs w:val="24"/>
        </w:rPr>
      </w:pPr>
      <w:r w:rsidRPr="002924DA">
        <w:rPr>
          <w:sz w:val="24"/>
          <w:szCs w:val="24"/>
        </w:rPr>
        <w:t>TENs</w:t>
      </w:r>
      <w:r w:rsidR="008D45EB">
        <w:rPr>
          <w:sz w:val="24"/>
          <w:szCs w:val="24"/>
        </w:rPr>
        <w:t xml:space="preserve"> </w:t>
      </w:r>
      <w:r w:rsidRPr="002924DA">
        <w:rPr>
          <w:sz w:val="24"/>
          <w:szCs w:val="24"/>
        </w:rPr>
        <w:t xml:space="preserve">-Training Employment Notices; </w:t>
      </w:r>
    </w:p>
    <w:p w14:paraId="67079AD0" w14:textId="77777777" w:rsidR="00A93806" w:rsidRPr="002924DA" w:rsidRDefault="00A93806" w:rsidP="009F0DBF">
      <w:pPr>
        <w:pStyle w:val="ListParagraph"/>
        <w:numPr>
          <w:ilvl w:val="1"/>
          <w:numId w:val="33"/>
        </w:numPr>
        <w:spacing w:after="160" w:line="276" w:lineRule="auto"/>
        <w:contextualSpacing/>
        <w:jc w:val="both"/>
        <w:rPr>
          <w:sz w:val="24"/>
          <w:szCs w:val="24"/>
        </w:rPr>
      </w:pPr>
      <w:r w:rsidRPr="002924DA">
        <w:rPr>
          <w:sz w:val="24"/>
          <w:szCs w:val="24"/>
        </w:rPr>
        <w:t xml:space="preserve">The USDOL Core Monitoring Guide; </w:t>
      </w:r>
    </w:p>
    <w:p w14:paraId="29CB1DB1" w14:textId="77777777" w:rsidR="00A93806" w:rsidRPr="002924DA" w:rsidRDefault="00A93806" w:rsidP="009F0DBF">
      <w:pPr>
        <w:pStyle w:val="ListParagraph"/>
        <w:numPr>
          <w:ilvl w:val="0"/>
          <w:numId w:val="33"/>
        </w:numPr>
        <w:spacing w:after="160" w:line="276" w:lineRule="auto"/>
        <w:contextualSpacing/>
        <w:jc w:val="both"/>
        <w:rPr>
          <w:sz w:val="24"/>
          <w:szCs w:val="24"/>
        </w:rPr>
      </w:pPr>
      <w:r w:rsidRPr="002924DA">
        <w:rPr>
          <w:sz w:val="24"/>
          <w:szCs w:val="24"/>
        </w:rPr>
        <w:t>Violation of any stipulation in the award agreement between the DWS and Local Areas;</w:t>
      </w:r>
    </w:p>
    <w:p w14:paraId="703EDA00" w14:textId="77777777" w:rsidR="00A93806" w:rsidRPr="002924DA" w:rsidRDefault="00A93806" w:rsidP="009F0DBF">
      <w:pPr>
        <w:pStyle w:val="ListParagraph"/>
        <w:numPr>
          <w:ilvl w:val="0"/>
          <w:numId w:val="33"/>
        </w:numPr>
        <w:spacing w:after="160" w:line="276" w:lineRule="auto"/>
        <w:contextualSpacing/>
        <w:jc w:val="both"/>
        <w:rPr>
          <w:sz w:val="24"/>
          <w:szCs w:val="24"/>
        </w:rPr>
      </w:pPr>
      <w:r w:rsidRPr="002924DA">
        <w:rPr>
          <w:sz w:val="24"/>
          <w:szCs w:val="24"/>
        </w:rPr>
        <w:t xml:space="preserve">Violation of any stipulation in the award agreement between Local Areas and Subrecipients; </w:t>
      </w:r>
    </w:p>
    <w:p w14:paraId="363E35E0" w14:textId="4F06EC6B" w:rsidR="00A93806" w:rsidRPr="002924DA" w:rsidRDefault="00A93806" w:rsidP="009F0DBF">
      <w:pPr>
        <w:pStyle w:val="ListParagraph"/>
        <w:numPr>
          <w:ilvl w:val="0"/>
          <w:numId w:val="33"/>
        </w:numPr>
        <w:spacing w:after="160" w:line="276" w:lineRule="auto"/>
        <w:contextualSpacing/>
        <w:jc w:val="both"/>
        <w:rPr>
          <w:sz w:val="24"/>
          <w:szCs w:val="24"/>
        </w:rPr>
      </w:pPr>
      <w:r w:rsidRPr="002924DA">
        <w:rPr>
          <w:sz w:val="24"/>
          <w:szCs w:val="24"/>
        </w:rPr>
        <w:t>Violation of any State WIOA policy (</w:t>
      </w:r>
      <w:r w:rsidRPr="002924DA">
        <w:rPr>
          <w:i/>
          <w:sz w:val="24"/>
          <w:szCs w:val="24"/>
        </w:rPr>
        <w:t>issued by either the NC</w:t>
      </w:r>
      <w:r w:rsidR="008D45EB">
        <w:rPr>
          <w:i/>
          <w:sz w:val="24"/>
          <w:szCs w:val="24"/>
        </w:rPr>
        <w:t>Works</w:t>
      </w:r>
      <w:r w:rsidRPr="002924DA">
        <w:rPr>
          <w:i/>
          <w:sz w:val="24"/>
          <w:szCs w:val="24"/>
        </w:rPr>
        <w:t xml:space="preserve"> Commission or DWS on behalf of the Governor</w:t>
      </w:r>
      <w:r w:rsidRPr="002924DA">
        <w:rPr>
          <w:sz w:val="24"/>
          <w:szCs w:val="24"/>
        </w:rPr>
        <w:t xml:space="preserve">); </w:t>
      </w:r>
    </w:p>
    <w:p w14:paraId="0BA5A03B" w14:textId="232F7647" w:rsidR="00A93806" w:rsidRDefault="00A93806" w:rsidP="009F0DBF">
      <w:pPr>
        <w:pStyle w:val="ListParagraph"/>
        <w:numPr>
          <w:ilvl w:val="0"/>
          <w:numId w:val="33"/>
        </w:numPr>
        <w:spacing w:after="160" w:line="276" w:lineRule="auto"/>
        <w:contextualSpacing/>
        <w:jc w:val="both"/>
        <w:rPr>
          <w:sz w:val="24"/>
          <w:szCs w:val="24"/>
        </w:rPr>
      </w:pPr>
      <w:r w:rsidRPr="002924DA">
        <w:rPr>
          <w:sz w:val="24"/>
          <w:szCs w:val="24"/>
        </w:rPr>
        <w:t xml:space="preserve">Violation of any </w:t>
      </w:r>
      <w:r w:rsidR="00904CB1">
        <w:rPr>
          <w:sz w:val="24"/>
          <w:szCs w:val="24"/>
        </w:rPr>
        <w:t xml:space="preserve">WDB </w:t>
      </w:r>
      <w:r w:rsidRPr="002924DA">
        <w:rPr>
          <w:sz w:val="24"/>
          <w:szCs w:val="24"/>
        </w:rPr>
        <w:t>policy issued for the local area</w:t>
      </w:r>
      <w:r w:rsidR="00ED62CF">
        <w:rPr>
          <w:sz w:val="24"/>
          <w:szCs w:val="24"/>
        </w:rPr>
        <w:t>;</w:t>
      </w:r>
      <w:r w:rsidRPr="002924DA">
        <w:rPr>
          <w:sz w:val="24"/>
          <w:szCs w:val="24"/>
        </w:rPr>
        <w:t xml:space="preserve"> </w:t>
      </w:r>
      <w:r w:rsidR="00ED62CF">
        <w:rPr>
          <w:sz w:val="24"/>
          <w:szCs w:val="24"/>
        </w:rPr>
        <w:t>and</w:t>
      </w:r>
    </w:p>
    <w:p w14:paraId="19FFC34B" w14:textId="6CCB101B" w:rsidR="006654CA" w:rsidRPr="002924DA" w:rsidRDefault="00B71A3E" w:rsidP="009F0DBF">
      <w:pPr>
        <w:pStyle w:val="ListParagraph"/>
        <w:numPr>
          <w:ilvl w:val="0"/>
          <w:numId w:val="33"/>
        </w:numPr>
        <w:spacing w:after="160" w:line="276" w:lineRule="auto"/>
        <w:contextualSpacing/>
        <w:jc w:val="both"/>
        <w:rPr>
          <w:sz w:val="24"/>
          <w:szCs w:val="24"/>
        </w:rPr>
      </w:pPr>
      <w:r>
        <w:rPr>
          <w:sz w:val="24"/>
          <w:szCs w:val="24"/>
        </w:rPr>
        <w:t>Applicable subrecipient policies</w:t>
      </w:r>
      <w:r w:rsidR="00ED62CF">
        <w:rPr>
          <w:sz w:val="24"/>
          <w:szCs w:val="24"/>
        </w:rPr>
        <w:t>.</w:t>
      </w:r>
    </w:p>
    <w:p w14:paraId="6C00A058" w14:textId="597FF599" w:rsidR="00A93806" w:rsidRPr="002924DA" w:rsidRDefault="00A93806" w:rsidP="009F0DBF">
      <w:pPr>
        <w:spacing w:line="276" w:lineRule="auto"/>
        <w:jc w:val="both"/>
        <w:rPr>
          <w:rFonts w:ascii="Times New Roman" w:hAnsi="Times New Roman" w:cs="Times New Roman"/>
          <w:sz w:val="24"/>
          <w:szCs w:val="24"/>
        </w:rPr>
      </w:pPr>
      <w:bookmarkStart w:id="4" w:name="_Hlk70597793"/>
      <w:bookmarkEnd w:id="3"/>
      <w:r w:rsidRPr="002924DA">
        <w:rPr>
          <w:rFonts w:ascii="Times New Roman" w:hAnsi="Times New Roman" w:cs="Times New Roman"/>
          <w:bCs/>
          <w:iCs/>
          <w:sz w:val="24"/>
          <w:szCs w:val="24"/>
        </w:rPr>
        <w:t xml:space="preserve">When a </w:t>
      </w:r>
      <w:r w:rsidR="000979E3">
        <w:rPr>
          <w:rFonts w:ascii="Times New Roman" w:hAnsi="Times New Roman" w:cs="Times New Roman"/>
          <w:bCs/>
          <w:iCs/>
          <w:sz w:val="24"/>
          <w:szCs w:val="24"/>
        </w:rPr>
        <w:t>F</w:t>
      </w:r>
      <w:r w:rsidR="000979E3" w:rsidRPr="002924DA">
        <w:rPr>
          <w:rFonts w:ascii="Times New Roman" w:hAnsi="Times New Roman" w:cs="Times New Roman"/>
          <w:bCs/>
          <w:iCs/>
          <w:sz w:val="24"/>
          <w:szCs w:val="24"/>
        </w:rPr>
        <w:t xml:space="preserve">inding </w:t>
      </w:r>
      <w:r w:rsidRPr="002924DA">
        <w:rPr>
          <w:rFonts w:ascii="Times New Roman" w:hAnsi="Times New Roman" w:cs="Times New Roman"/>
          <w:bCs/>
          <w:iCs/>
          <w:sz w:val="24"/>
          <w:szCs w:val="24"/>
        </w:rPr>
        <w:t>is identified,</w:t>
      </w:r>
      <w:r w:rsidRPr="002924DA">
        <w:rPr>
          <w:rFonts w:ascii="Times New Roman" w:hAnsi="Times New Roman" w:cs="Times New Roman"/>
          <w:sz w:val="24"/>
          <w:szCs w:val="24"/>
        </w:rPr>
        <w:t xml:space="preserve"> the </w:t>
      </w:r>
      <w:r w:rsidR="001805DA">
        <w:rPr>
          <w:rFonts w:ascii="Times New Roman" w:hAnsi="Times New Roman" w:cs="Times New Roman"/>
          <w:sz w:val="24"/>
          <w:szCs w:val="24"/>
        </w:rPr>
        <w:t xml:space="preserve">DWS </w:t>
      </w:r>
      <w:r w:rsidRPr="002924DA">
        <w:rPr>
          <w:rFonts w:ascii="Times New Roman" w:hAnsi="Times New Roman" w:cs="Times New Roman"/>
          <w:sz w:val="24"/>
          <w:szCs w:val="24"/>
        </w:rPr>
        <w:t xml:space="preserve">report must cite the specific law, regulation, contract condition, guidance letter, or policy being violated and must identify the specific action required to resolve the finding.  </w:t>
      </w:r>
      <w:r w:rsidR="006A30A8" w:rsidRPr="00361C53">
        <w:rPr>
          <w:rFonts w:ascii="Times New Roman" w:hAnsi="Times New Roman" w:cs="Times New Roman"/>
          <w:color w:val="000000"/>
          <w:sz w:val="24"/>
          <w:szCs w:val="24"/>
          <w:bdr w:val="none" w:sz="0" w:space="0" w:color="auto" w:frame="1"/>
          <w:shd w:val="clear" w:color="auto" w:fill="FFFFFF"/>
        </w:rPr>
        <w:t>Monitoring reports that identify findings require a formal response explaining the required actions that will be taken and the date</w:t>
      </w:r>
      <w:r w:rsidR="006A30A8" w:rsidRPr="00361C53">
        <w:rPr>
          <w:rStyle w:val="xxmsocommentreference"/>
          <w:rFonts w:ascii="Times New Roman" w:hAnsi="Times New Roman" w:cs="Times New Roman"/>
          <w:color w:val="000000"/>
          <w:sz w:val="24"/>
          <w:szCs w:val="24"/>
          <w:bdr w:val="none" w:sz="0" w:space="0" w:color="auto" w:frame="1"/>
          <w:shd w:val="clear" w:color="auto" w:fill="FFFFFF"/>
        </w:rPr>
        <w:t> </w:t>
      </w:r>
      <w:r w:rsidR="006A30A8" w:rsidRPr="00361C53">
        <w:rPr>
          <w:rFonts w:ascii="Times New Roman" w:hAnsi="Times New Roman" w:cs="Times New Roman"/>
          <w:color w:val="000000"/>
          <w:sz w:val="24"/>
          <w:szCs w:val="24"/>
          <w:bdr w:val="none" w:sz="0" w:space="0" w:color="auto" w:frame="1"/>
          <w:shd w:val="clear" w:color="auto" w:fill="FFFFFF"/>
        </w:rPr>
        <w:t>by which the finding will be resolved</w:t>
      </w:r>
      <w:r w:rsidR="006A30A8">
        <w:rPr>
          <w:color w:val="000000"/>
          <w:bdr w:val="none" w:sz="0" w:space="0" w:color="auto" w:frame="1"/>
          <w:shd w:val="clear" w:color="auto" w:fill="FFFFFF"/>
        </w:rPr>
        <w:t>.</w:t>
      </w:r>
    </w:p>
    <w:p w14:paraId="70BC4D81" w14:textId="6ED958C8" w:rsidR="00A93806" w:rsidRPr="002924DA" w:rsidRDefault="00A93806" w:rsidP="009F0DBF">
      <w:pPr>
        <w:spacing w:line="276" w:lineRule="auto"/>
        <w:jc w:val="both"/>
        <w:rPr>
          <w:rFonts w:ascii="Times New Roman" w:hAnsi="Times New Roman" w:cs="Times New Roman"/>
          <w:sz w:val="24"/>
          <w:szCs w:val="24"/>
        </w:rPr>
      </w:pPr>
      <w:bookmarkStart w:id="5" w:name="_Hlk70597638"/>
      <w:bookmarkEnd w:id="4"/>
      <w:r w:rsidRPr="002924DA">
        <w:rPr>
          <w:rFonts w:ascii="Times New Roman" w:hAnsi="Times New Roman" w:cs="Times New Roman"/>
          <w:bCs/>
          <w:iCs/>
          <w:sz w:val="24"/>
          <w:szCs w:val="24"/>
        </w:rPr>
        <w:t xml:space="preserve">An </w:t>
      </w:r>
      <w:r w:rsidR="000979E3">
        <w:rPr>
          <w:rFonts w:ascii="Times New Roman" w:hAnsi="Times New Roman" w:cs="Times New Roman"/>
          <w:bCs/>
          <w:iCs/>
          <w:sz w:val="24"/>
          <w:szCs w:val="24"/>
        </w:rPr>
        <w:t>O</w:t>
      </w:r>
      <w:r w:rsidR="000979E3" w:rsidRPr="002924DA">
        <w:rPr>
          <w:rFonts w:ascii="Times New Roman" w:hAnsi="Times New Roman" w:cs="Times New Roman"/>
          <w:bCs/>
          <w:iCs/>
          <w:sz w:val="24"/>
          <w:szCs w:val="24"/>
        </w:rPr>
        <w:t xml:space="preserve">bservation </w:t>
      </w:r>
      <w:r w:rsidRPr="002924DA">
        <w:rPr>
          <w:rFonts w:ascii="Times New Roman" w:hAnsi="Times New Roman" w:cs="Times New Roman"/>
          <w:bCs/>
          <w:iCs/>
          <w:sz w:val="24"/>
          <w:szCs w:val="24"/>
        </w:rPr>
        <w:t>is</w:t>
      </w:r>
      <w:r w:rsidRPr="002924DA">
        <w:rPr>
          <w:rFonts w:ascii="Times New Roman" w:hAnsi="Times New Roman" w:cs="Times New Roman"/>
          <w:sz w:val="24"/>
          <w:szCs w:val="24"/>
        </w:rPr>
        <w:t xml:space="preserve"> a potential violation of law, regulation, guidance, or policy and can result from questionable business practices such as unawareness of, or failure to abide by, established internal fiscal controls or procedures.   </w:t>
      </w:r>
      <w:bookmarkStart w:id="6" w:name="_Hlk70597671"/>
      <w:bookmarkEnd w:id="5"/>
      <w:r w:rsidRPr="002924DA">
        <w:rPr>
          <w:rFonts w:ascii="Times New Roman" w:hAnsi="Times New Roman" w:cs="Times New Roman"/>
          <w:sz w:val="24"/>
          <w:szCs w:val="24"/>
        </w:rPr>
        <w:t xml:space="preserve">An observation does not require a formal response; however, when identifying an observation, the </w:t>
      </w:r>
      <w:r w:rsidR="00860BC7">
        <w:rPr>
          <w:rFonts w:ascii="Times New Roman" w:hAnsi="Times New Roman" w:cs="Times New Roman"/>
          <w:sz w:val="24"/>
          <w:szCs w:val="24"/>
        </w:rPr>
        <w:t xml:space="preserve">monitor </w:t>
      </w:r>
      <w:r w:rsidRPr="002924DA">
        <w:rPr>
          <w:rFonts w:ascii="Times New Roman" w:hAnsi="Times New Roman" w:cs="Times New Roman"/>
          <w:sz w:val="24"/>
          <w:szCs w:val="24"/>
        </w:rPr>
        <w:t>must fully explain the concern and provide suggested action steps or offer technical assistance that will permit the grantee to adequately address the concern.</w:t>
      </w:r>
    </w:p>
    <w:p w14:paraId="02F640BB" w14:textId="3FE1723E" w:rsidR="00A93806" w:rsidRPr="002924DA" w:rsidRDefault="00A93806" w:rsidP="009F0DBF">
      <w:pPr>
        <w:spacing w:line="276" w:lineRule="auto"/>
        <w:jc w:val="both"/>
        <w:rPr>
          <w:rFonts w:ascii="Times New Roman" w:hAnsi="Times New Roman" w:cs="Times New Roman"/>
          <w:sz w:val="24"/>
          <w:szCs w:val="24"/>
        </w:rPr>
      </w:pPr>
      <w:bookmarkStart w:id="7" w:name="_Hlk70597698"/>
      <w:bookmarkEnd w:id="6"/>
      <w:r w:rsidRPr="002924DA">
        <w:rPr>
          <w:rFonts w:ascii="Times New Roman" w:hAnsi="Times New Roman" w:cs="Times New Roman"/>
          <w:sz w:val="24"/>
          <w:szCs w:val="24"/>
        </w:rPr>
        <w:t xml:space="preserve">Technical Assistance comments are used to identify areas needing improvement in administrative or management practices unrelated to compliance, but if corrected, could improve efficiency or effectiveness.  </w:t>
      </w:r>
      <w:r w:rsidR="00B86BC7">
        <w:rPr>
          <w:rFonts w:ascii="Times New Roman" w:hAnsi="Times New Roman" w:cs="Times New Roman"/>
          <w:sz w:val="24"/>
          <w:szCs w:val="24"/>
        </w:rPr>
        <w:t>Technical Assistance comments are not findings and t</w:t>
      </w:r>
      <w:r w:rsidRPr="002924DA">
        <w:rPr>
          <w:rFonts w:ascii="Times New Roman" w:hAnsi="Times New Roman" w:cs="Times New Roman"/>
          <w:sz w:val="24"/>
          <w:szCs w:val="24"/>
        </w:rPr>
        <w:t xml:space="preserve">he WDB is not required to provide any response to technical assistance comments.  </w:t>
      </w:r>
      <w:bookmarkEnd w:id="7"/>
    </w:p>
    <w:p w14:paraId="77D24C07" w14:textId="77777777" w:rsidR="007802F6" w:rsidRDefault="007802F6" w:rsidP="009F0DBF">
      <w:pPr>
        <w:jc w:val="both"/>
        <w:rPr>
          <w:rFonts w:ascii="Times New Roman" w:hAnsi="Times New Roman" w:cs="Times New Roman"/>
          <w:b/>
          <w:iCs/>
          <w:sz w:val="24"/>
          <w:szCs w:val="24"/>
          <w:u w:val="single"/>
        </w:rPr>
      </w:pPr>
    </w:p>
    <w:p w14:paraId="0C659A3F" w14:textId="77777777" w:rsidR="007802F6" w:rsidRDefault="007802F6" w:rsidP="009F0DBF">
      <w:pPr>
        <w:jc w:val="both"/>
        <w:rPr>
          <w:rFonts w:ascii="Times New Roman" w:hAnsi="Times New Roman" w:cs="Times New Roman"/>
          <w:b/>
          <w:iCs/>
          <w:sz w:val="24"/>
          <w:szCs w:val="24"/>
          <w:u w:val="single"/>
        </w:rPr>
      </w:pPr>
    </w:p>
    <w:p w14:paraId="784D4578" w14:textId="59BB9590" w:rsidR="00A93806" w:rsidRPr="002924DA" w:rsidRDefault="00DC4BD5" w:rsidP="009F0DBF">
      <w:pPr>
        <w:jc w:val="both"/>
        <w:rPr>
          <w:rFonts w:ascii="Times New Roman" w:hAnsi="Times New Roman" w:cs="Times New Roman"/>
          <w:b/>
          <w:sz w:val="24"/>
          <w:szCs w:val="24"/>
          <w:u w:val="single"/>
        </w:rPr>
      </w:pPr>
      <w:r w:rsidRPr="009869B2">
        <w:rPr>
          <w:rFonts w:ascii="Times New Roman" w:hAnsi="Times New Roman" w:cs="Times New Roman"/>
          <w:b/>
          <w:iCs/>
          <w:sz w:val="24"/>
          <w:szCs w:val="24"/>
          <w:u w:val="single"/>
        </w:rPr>
        <w:lastRenderedPageBreak/>
        <w:t>Exit Conference</w:t>
      </w:r>
    </w:p>
    <w:p w14:paraId="6EFDCE14" w14:textId="685A21AB" w:rsidR="00DC4BD5" w:rsidRPr="002924DA" w:rsidRDefault="00DC4BD5" w:rsidP="009F0DBF">
      <w:pPr>
        <w:jc w:val="both"/>
        <w:rPr>
          <w:rFonts w:ascii="Times New Roman" w:hAnsi="Times New Roman" w:cs="Times New Roman"/>
          <w:sz w:val="24"/>
          <w:szCs w:val="24"/>
        </w:rPr>
      </w:pPr>
      <w:r w:rsidRPr="002924DA">
        <w:rPr>
          <w:rFonts w:ascii="Times New Roman" w:hAnsi="Times New Roman" w:cs="Times New Roman"/>
          <w:bCs/>
          <w:iCs/>
          <w:sz w:val="24"/>
          <w:szCs w:val="24"/>
        </w:rPr>
        <w:t>An Exit Conference</w:t>
      </w:r>
      <w:r w:rsidRPr="002924DA">
        <w:rPr>
          <w:rFonts w:ascii="Times New Roman" w:hAnsi="Times New Roman" w:cs="Times New Roman"/>
          <w:i/>
          <w:sz w:val="24"/>
          <w:szCs w:val="24"/>
        </w:rPr>
        <w:t xml:space="preserve"> </w:t>
      </w:r>
      <w:r w:rsidRPr="002924DA">
        <w:rPr>
          <w:rFonts w:ascii="Times New Roman" w:hAnsi="Times New Roman" w:cs="Times New Roman"/>
          <w:sz w:val="24"/>
          <w:szCs w:val="24"/>
        </w:rPr>
        <w:t xml:space="preserve">occurs after the monitoring review is completed. During the exit </w:t>
      </w:r>
      <w:r w:rsidR="00860BC7">
        <w:rPr>
          <w:rFonts w:ascii="Times New Roman" w:hAnsi="Times New Roman" w:cs="Times New Roman"/>
          <w:sz w:val="24"/>
          <w:szCs w:val="24"/>
        </w:rPr>
        <w:t>conference</w:t>
      </w:r>
      <w:r w:rsidRPr="002924DA">
        <w:rPr>
          <w:rFonts w:ascii="Times New Roman" w:hAnsi="Times New Roman" w:cs="Times New Roman"/>
          <w:sz w:val="24"/>
          <w:szCs w:val="24"/>
        </w:rPr>
        <w:t>, monitors summarize what they have ascertained from the monitoring exercise.  Innovations and best practices are noted, and information is shared about issues that may result in formal findings and</w:t>
      </w:r>
      <w:r w:rsidR="008C0E3F">
        <w:rPr>
          <w:rFonts w:ascii="Times New Roman" w:hAnsi="Times New Roman" w:cs="Times New Roman"/>
          <w:sz w:val="24"/>
          <w:szCs w:val="24"/>
        </w:rPr>
        <w:t>/</w:t>
      </w:r>
      <w:r w:rsidRPr="002924DA">
        <w:rPr>
          <w:rFonts w:ascii="Times New Roman" w:hAnsi="Times New Roman" w:cs="Times New Roman"/>
          <w:sz w:val="24"/>
          <w:szCs w:val="24"/>
        </w:rPr>
        <w:t xml:space="preserve">or observations. </w:t>
      </w:r>
      <w:r w:rsidRPr="002924DA">
        <w:rPr>
          <w:rFonts w:ascii="Times New Roman" w:hAnsi="Times New Roman" w:cs="Times New Roman"/>
          <w:b/>
          <w:bCs/>
          <w:sz w:val="24"/>
          <w:szCs w:val="24"/>
        </w:rPr>
        <w:t xml:space="preserve">This is the opportunity for </w:t>
      </w:r>
      <w:r w:rsidR="006A7759">
        <w:rPr>
          <w:rFonts w:ascii="Times New Roman" w:hAnsi="Times New Roman" w:cs="Times New Roman"/>
          <w:b/>
          <w:bCs/>
          <w:sz w:val="24"/>
          <w:szCs w:val="24"/>
        </w:rPr>
        <w:t xml:space="preserve">the local area </w:t>
      </w:r>
      <w:r w:rsidRPr="002924DA">
        <w:rPr>
          <w:rFonts w:ascii="Times New Roman" w:hAnsi="Times New Roman" w:cs="Times New Roman"/>
          <w:b/>
          <w:bCs/>
          <w:sz w:val="24"/>
          <w:szCs w:val="24"/>
        </w:rPr>
        <w:t>to produc</w:t>
      </w:r>
      <w:r w:rsidR="0088782A">
        <w:rPr>
          <w:rFonts w:ascii="Times New Roman" w:hAnsi="Times New Roman" w:cs="Times New Roman"/>
          <w:b/>
          <w:bCs/>
          <w:sz w:val="24"/>
          <w:szCs w:val="24"/>
        </w:rPr>
        <w:t>e</w:t>
      </w:r>
      <w:r w:rsidRPr="002924DA">
        <w:rPr>
          <w:rFonts w:ascii="Times New Roman" w:hAnsi="Times New Roman" w:cs="Times New Roman"/>
          <w:b/>
          <w:bCs/>
          <w:sz w:val="24"/>
          <w:szCs w:val="24"/>
        </w:rPr>
        <w:t xml:space="preserve"> additional information or documentation that might clear up a possible finding or observation.</w:t>
      </w:r>
      <w:r w:rsidRPr="002924DA">
        <w:rPr>
          <w:rFonts w:ascii="Times New Roman" w:hAnsi="Times New Roman" w:cs="Times New Roman"/>
          <w:sz w:val="24"/>
          <w:szCs w:val="24"/>
        </w:rPr>
        <w:t xml:space="preserve">  As further </w:t>
      </w:r>
      <w:r w:rsidR="00C82B75">
        <w:rPr>
          <w:rFonts w:ascii="Times New Roman" w:hAnsi="Times New Roman" w:cs="Times New Roman"/>
          <w:sz w:val="24"/>
          <w:szCs w:val="24"/>
        </w:rPr>
        <w:t xml:space="preserve">review, </w:t>
      </w:r>
      <w:r w:rsidRPr="002924DA">
        <w:rPr>
          <w:rFonts w:ascii="Times New Roman" w:hAnsi="Times New Roman" w:cs="Times New Roman"/>
          <w:sz w:val="24"/>
          <w:szCs w:val="24"/>
        </w:rPr>
        <w:t>analysis</w:t>
      </w:r>
      <w:r w:rsidR="00C82B75">
        <w:rPr>
          <w:rFonts w:ascii="Times New Roman" w:hAnsi="Times New Roman" w:cs="Times New Roman"/>
          <w:sz w:val="24"/>
          <w:szCs w:val="24"/>
        </w:rPr>
        <w:t>,</w:t>
      </w:r>
      <w:r w:rsidRPr="002924DA">
        <w:rPr>
          <w:rFonts w:ascii="Times New Roman" w:hAnsi="Times New Roman" w:cs="Times New Roman"/>
          <w:sz w:val="24"/>
          <w:szCs w:val="24"/>
        </w:rPr>
        <w:t xml:space="preserve"> and discussion with staff and management may be necessary, it </w:t>
      </w:r>
      <w:r w:rsidR="00BA1709">
        <w:rPr>
          <w:rFonts w:ascii="Times New Roman" w:hAnsi="Times New Roman" w:cs="Times New Roman"/>
          <w:sz w:val="24"/>
          <w:szCs w:val="24"/>
        </w:rPr>
        <w:t>will</w:t>
      </w:r>
      <w:r w:rsidR="00BA1709" w:rsidRPr="002924DA">
        <w:rPr>
          <w:rFonts w:ascii="Times New Roman" w:hAnsi="Times New Roman" w:cs="Times New Roman"/>
          <w:sz w:val="24"/>
          <w:szCs w:val="24"/>
        </w:rPr>
        <w:t xml:space="preserve"> </w:t>
      </w:r>
      <w:r w:rsidRPr="002924DA">
        <w:rPr>
          <w:rFonts w:ascii="Times New Roman" w:hAnsi="Times New Roman" w:cs="Times New Roman"/>
          <w:sz w:val="24"/>
          <w:szCs w:val="24"/>
        </w:rPr>
        <w:t xml:space="preserve">not be possible to convey every finding and observation during the exit </w:t>
      </w:r>
      <w:r w:rsidR="00666BCF">
        <w:rPr>
          <w:rFonts w:ascii="Times New Roman" w:hAnsi="Times New Roman" w:cs="Times New Roman"/>
          <w:sz w:val="24"/>
          <w:szCs w:val="24"/>
        </w:rPr>
        <w:t>conference</w:t>
      </w:r>
      <w:r w:rsidRPr="002924DA">
        <w:rPr>
          <w:rFonts w:ascii="Times New Roman" w:hAnsi="Times New Roman" w:cs="Times New Roman"/>
          <w:sz w:val="24"/>
          <w:szCs w:val="24"/>
        </w:rPr>
        <w:t>; a</w:t>
      </w:r>
      <w:r w:rsidR="000261BA">
        <w:rPr>
          <w:rFonts w:ascii="Times New Roman" w:hAnsi="Times New Roman" w:cs="Times New Roman"/>
          <w:sz w:val="24"/>
          <w:szCs w:val="24"/>
        </w:rPr>
        <w:t xml:space="preserve">s such the exit conference is </w:t>
      </w:r>
      <w:r w:rsidR="006A7759">
        <w:rPr>
          <w:rFonts w:ascii="Times New Roman" w:hAnsi="Times New Roman" w:cs="Times New Roman"/>
          <w:sz w:val="24"/>
          <w:szCs w:val="24"/>
        </w:rPr>
        <w:t>considered</w:t>
      </w:r>
      <w:r w:rsidR="006A7759" w:rsidRPr="002924DA">
        <w:rPr>
          <w:rFonts w:ascii="Times New Roman" w:hAnsi="Times New Roman" w:cs="Times New Roman"/>
          <w:sz w:val="24"/>
          <w:szCs w:val="24"/>
        </w:rPr>
        <w:t xml:space="preserve"> preliminary</w:t>
      </w:r>
      <w:r w:rsidR="006A7759">
        <w:rPr>
          <w:rFonts w:ascii="Times New Roman" w:hAnsi="Times New Roman" w:cs="Times New Roman"/>
          <w:sz w:val="24"/>
          <w:szCs w:val="24"/>
        </w:rPr>
        <w:t xml:space="preserve">. </w:t>
      </w:r>
      <w:r w:rsidRPr="002924DA">
        <w:rPr>
          <w:rFonts w:ascii="Times New Roman" w:hAnsi="Times New Roman" w:cs="Times New Roman"/>
          <w:sz w:val="24"/>
          <w:szCs w:val="24"/>
        </w:rPr>
        <w:t xml:space="preserve"> </w:t>
      </w:r>
    </w:p>
    <w:p w14:paraId="0CE748C1" w14:textId="233F0B85" w:rsidR="00DC4BD5" w:rsidRPr="005C028A" w:rsidRDefault="00DC4BD5" w:rsidP="009F0DBF">
      <w:pPr>
        <w:jc w:val="both"/>
        <w:rPr>
          <w:rFonts w:ascii="Times New Roman" w:hAnsi="Times New Roman" w:cs="Times New Roman"/>
          <w:b/>
          <w:sz w:val="24"/>
          <w:szCs w:val="24"/>
          <w:u w:val="single"/>
        </w:rPr>
      </w:pPr>
      <w:r w:rsidRPr="005C028A">
        <w:rPr>
          <w:rStyle w:val="Strong"/>
          <w:rFonts w:ascii="Times New Roman" w:hAnsi="Times New Roman" w:cs="Times New Roman"/>
          <w:sz w:val="24"/>
          <w:szCs w:val="24"/>
          <w:u w:val="single"/>
        </w:rPr>
        <w:t>Monitoring Report</w:t>
      </w:r>
    </w:p>
    <w:p w14:paraId="471FE71F" w14:textId="512D9F37" w:rsidR="00DC4BD5" w:rsidRPr="002924DA" w:rsidRDefault="003B0535" w:rsidP="009F0DBF">
      <w:pPr>
        <w:spacing w:after="13" w:line="248" w:lineRule="auto"/>
        <w:ind w:right="74"/>
        <w:jc w:val="both"/>
        <w:rPr>
          <w:rFonts w:ascii="Times New Roman" w:eastAsia="Arial" w:hAnsi="Times New Roman" w:cs="Times New Roman"/>
          <w:color w:val="000000"/>
          <w:sz w:val="24"/>
          <w:szCs w:val="24"/>
        </w:rPr>
      </w:pPr>
      <w:r>
        <w:rPr>
          <w:rFonts w:ascii="Times New Roman" w:eastAsia="Arial" w:hAnsi="Times New Roman" w:cs="Times New Roman"/>
          <w:bCs/>
          <w:color w:val="000000"/>
          <w:sz w:val="24"/>
          <w:szCs w:val="24"/>
        </w:rPr>
        <w:t>Within 45 days a</w:t>
      </w:r>
      <w:r w:rsidR="00DC4BD5" w:rsidRPr="002924DA">
        <w:rPr>
          <w:rFonts w:ascii="Times New Roman" w:eastAsia="Arial" w:hAnsi="Times New Roman" w:cs="Times New Roman"/>
          <w:bCs/>
          <w:color w:val="000000"/>
          <w:sz w:val="24"/>
          <w:szCs w:val="24"/>
        </w:rPr>
        <w:t>fter the Exit Conference DWS will</w:t>
      </w:r>
      <w:r w:rsidR="00DC4BD5" w:rsidRPr="002924DA">
        <w:rPr>
          <w:rFonts w:ascii="Times New Roman" w:eastAsia="Arial" w:hAnsi="Times New Roman" w:cs="Times New Roman"/>
          <w:color w:val="000000"/>
          <w:sz w:val="24"/>
          <w:szCs w:val="24"/>
        </w:rPr>
        <w:t xml:space="preserve"> issue a monitoring report and </w:t>
      </w:r>
      <w:r w:rsidR="00871414" w:rsidRPr="002924DA">
        <w:rPr>
          <w:rFonts w:ascii="Times New Roman" w:eastAsia="Arial" w:hAnsi="Times New Roman" w:cs="Times New Roman"/>
          <w:color w:val="000000"/>
          <w:sz w:val="24"/>
          <w:szCs w:val="24"/>
        </w:rPr>
        <w:t>sen</w:t>
      </w:r>
      <w:r w:rsidR="0045433F">
        <w:rPr>
          <w:rFonts w:ascii="Times New Roman" w:eastAsia="Arial" w:hAnsi="Times New Roman" w:cs="Times New Roman"/>
          <w:color w:val="000000"/>
          <w:sz w:val="24"/>
          <w:szCs w:val="24"/>
        </w:rPr>
        <w:t>d</w:t>
      </w:r>
      <w:r w:rsidR="0017125C">
        <w:rPr>
          <w:rFonts w:ascii="Times New Roman" w:eastAsia="Arial" w:hAnsi="Times New Roman" w:cs="Times New Roman"/>
          <w:color w:val="000000"/>
          <w:sz w:val="24"/>
          <w:szCs w:val="24"/>
        </w:rPr>
        <w:t xml:space="preserve"> it</w:t>
      </w:r>
      <w:r w:rsidR="00871414" w:rsidRPr="002924DA">
        <w:rPr>
          <w:rFonts w:ascii="Times New Roman" w:eastAsia="Arial" w:hAnsi="Times New Roman" w:cs="Times New Roman"/>
          <w:color w:val="000000"/>
          <w:sz w:val="24"/>
          <w:szCs w:val="24"/>
        </w:rPr>
        <w:t xml:space="preserve"> along with a cover letter</w:t>
      </w:r>
      <w:r>
        <w:rPr>
          <w:rFonts w:ascii="Times New Roman" w:eastAsia="Arial" w:hAnsi="Times New Roman" w:cs="Times New Roman"/>
          <w:color w:val="000000"/>
          <w:sz w:val="24"/>
          <w:szCs w:val="24"/>
        </w:rPr>
        <w:t>,</w:t>
      </w:r>
      <w:r w:rsidR="00871414" w:rsidRPr="002924DA">
        <w:rPr>
          <w:rFonts w:ascii="Times New Roman" w:eastAsia="Arial" w:hAnsi="Times New Roman" w:cs="Times New Roman"/>
          <w:color w:val="000000"/>
          <w:sz w:val="24"/>
          <w:szCs w:val="24"/>
        </w:rPr>
        <w:t xml:space="preserve"> to the Chief Local Elected Official</w:t>
      </w:r>
      <w:r>
        <w:rPr>
          <w:rFonts w:ascii="Times New Roman" w:eastAsia="Arial" w:hAnsi="Times New Roman" w:cs="Times New Roman"/>
          <w:color w:val="000000"/>
          <w:sz w:val="24"/>
          <w:szCs w:val="24"/>
        </w:rPr>
        <w:t>.</w:t>
      </w:r>
      <w:r w:rsidR="00DD30B5">
        <w:rPr>
          <w:rFonts w:ascii="Times New Roman" w:eastAsia="Arial" w:hAnsi="Times New Roman" w:cs="Times New Roman"/>
          <w:color w:val="000000"/>
          <w:sz w:val="24"/>
          <w:szCs w:val="24"/>
        </w:rPr>
        <w:t xml:space="preserve"> </w:t>
      </w:r>
      <w:r w:rsidR="00DC4BD5" w:rsidRPr="002924DA">
        <w:rPr>
          <w:rFonts w:ascii="Times New Roman" w:eastAsia="Arial" w:hAnsi="Times New Roman" w:cs="Times New Roman"/>
          <w:color w:val="000000"/>
          <w:sz w:val="24"/>
          <w:szCs w:val="24"/>
        </w:rPr>
        <w:t xml:space="preserve">Copies of reports will be distributed to </w:t>
      </w:r>
      <w:r w:rsidR="00871414" w:rsidRPr="002924DA">
        <w:rPr>
          <w:rFonts w:ascii="Times New Roman" w:eastAsia="Arial" w:hAnsi="Times New Roman" w:cs="Times New Roman"/>
          <w:color w:val="000000"/>
          <w:sz w:val="24"/>
          <w:szCs w:val="24"/>
        </w:rPr>
        <w:t xml:space="preserve">the </w:t>
      </w:r>
      <w:r w:rsidR="00044DDB">
        <w:rPr>
          <w:rFonts w:ascii="Times New Roman" w:eastAsia="Arial" w:hAnsi="Times New Roman" w:cs="Times New Roman"/>
          <w:color w:val="000000"/>
          <w:sz w:val="24"/>
          <w:szCs w:val="24"/>
        </w:rPr>
        <w:t>Fiscal Agent’s</w:t>
      </w:r>
      <w:r w:rsidR="00871414" w:rsidRPr="002924DA">
        <w:rPr>
          <w:rFonts w:ascii="Times New Roman" w:eastAsia="Arial" w:hAnsi="Times New Roman" w:cs="Times New Roman"/>
          <w:color w:val="000000"/>
          <w:sz w:val="24"/>
          <w:szCs w:val="24"/>
        </w:rPr>
        <w:t xml:space="preserve"> Director, the WDB Director, and the WDB Chair. </w:t>
      </w:r>
      <w:r w:rsidR="00DC4BD5" w:rsidRPr="002924DA">
        <w:rPr>
          <w:rFonts w:ascii="Times New Roman" w:eastAsia="Arial" w:hAnsi="Times New Roman" w:cs="Times New Roman"/>
          <w:color w:val="000000"/>
          <w:sz w:val="24"/>
          <w:szCs w:val="24"/>
        </w:rPr>
        <w:t xml:space="preserve">  </w:t>
      </w:r>
    </w:p>
    <w:p w14:paraId="4A57EA37" w14:textId="77777777" w:rsidR="005A6401" w:rsidRPr="002924DA" w:rsidRDefault="005A6401" w:rsidP="009F0DBF">
      <w:pPr>
        <w:spacing w:after="13" w:line="248" w:lineRule="auto"/>
        <w:ind w:right="74"/>
        <w:jc w:val="both"/>
        <w:rPr>
          <w:rFonts w:ascii="Times New Roman" w:eastAsia="Arial" w:hAnsi="Times New Roman" w:cs="Times New Roman"/>
          <w:color w:val="000000"/>
          <w:sz w:val="24"/>
          <w:szCs w:val="24"/>
        </w:rPr>
      </w:pPr>
    </w:p>
    <w:p w14:paraId="429886A3" w14:textId="7922CD03" w:rsidR="00DC4BD5" w:rsidRPr="005C028A" w:rsidRDefault="00DC4BD5" w:rsidP="009F0DBF">
      <w:pPr>
        <w:jc w:val="both"/>
        <w:rPr>
          <w:rFonts w:ascii="Times New Roman" w:hAnsi="Times New Roman" w:cs="Times New Roman"/>
          <w:b/>
          <w:sz w:val="24"/>
          <w:szCs w:val="24"/>
          <w:u w:val="single"/>
        </w:rPr>
      </w:pPr>
      <w:r w:rsidRPr="005C028A">
        <w:rPr>
          <w:rFonts w:ascii="Times New Roman" w:hAnsi="Times New Roman" w:cs="Times New Roman"/>
          <w:b/>
          <w:sz w:val="24"/>
          <w:szCs w:val="24"/>
          <w:u w:val="single"/>
        </w:rPr>
        <w:t>Local Area Response/</w:t>
      </w:r>
      <w:r w:rsidRPr="005C028A">
        <w:rPr>
          <w:rStyle w:val="Strong"/>
          <w:rFonts w:ascii="Times New Roman" w:hAnsi="Times New Roman" w:cs="Times New Roman"/>
          <w:sz w:val="24"/>
          <w:szCs w:val="24"/>
          <w:u w:val="single"/>
        </w:rPr>
        <w:t>Corrective Action Plans (CAP)</w:t>
      </w:r>
    </w:p>
    <w:p w14:paraId="0F95E320" w14:textId="64CA886B" w:rsidR="00DC4BD5" w:rsidRPr="002924DA" w:rsidRDefault="00DC4BD5" w:rsidP="009F0DBF">
      <w:pPr>
        <w:spacing w:after="181" w:line="248" w:lineRule="auto"/>
        <w:ind w:left="9" w:right="11" w:hanging="9"/>
        <w:jc w:val="both"/>
        <w:rPr>
          <w:rFonts w:ascii="Times New Roman" w:eastAsia="Times New Roman" w:hAnsi="Times New Roman" w:cs="Times New Roman"/>
          <w:color w:val="000000"/>
          <w:sz w:val="24"/>
          <w:szCs w:val="24"/>
        </w:rPr>
      </w:pPr>
      <w:r w:rsidRPr="002924DA">
        <w:rPr>
          <w:rFonts w:ascii="Times New Roman" w:eastAsia="Times New Roman" w:hAnsi="Times New Roman" w:cs="Times New Roman"/>
          <w:color w:val="000000"/>
          <w:sz w:val="24"/>
          <w:szCs w:val="24"/>
        </w:rPr>
        <w:t>In response to a finding, the subrecipient must provide DWS with a CAP</w:t>
      </w:r>
      <w:r w:rsidR="00DF1A0C">
        <w:rPr>
          <w:rFonts w:ascii="Times New Roman" w:eastAsia="Times New Roman" w:hAnsi="Times New Roman" w:cs="Times New Roman"/>
          <w:color w:val="000000"/>
          <w:sz w:val="24"/>
          <w:szCs w:val="24"/>
        </w:rPr>
        <w:t xml:space="preserve"> within 30 days</w:t>
      </w:r>
      <w:r w:rsidRPr="002924DA">
        <w:rPr>
          <w:rFonts w:ascii="Times New Roman" w:eastAsia="Times New Roman" w:hAnsi="Times New Roman" w:cs="Times New Roman"/>
          <w:color w:val="000000"/>
          <w:sz w:val="24"/>
          <w:szCs w:val="24"/>
        </w:rPr>
        <w:t xml:space="preserve"> and provide sufficient documentation to resolve the finding. </w:t>
      </w:r>
      <w:r w:rsidR="005D2F29" w:rsidRPr="002924DA">
        <w:rPr>
          <w:rFonts w:ascii="Times New Roman" w:hAnsi="Times New Roman" w:cs="Times New Roman"/>
          <w:sz w:val="24"/>
          <w:szCs w:val="24"/>
        </w:rPr>
        <w:t>If a</w:t>
      </w:r>
      <w:r w:rsidR="008B32C7">
        <w:rPr>
          <w:rFonts w:ascii="Times New Roman" w:hAnsi="Times New Roman" w:cs="Times New Roman"/>
          <w:sz w:val="24"/>
          <w:szCs w:val="24"/>
        </w:rPr>
        <w:t xml:space="preserve"> </w:t>
      </w:r>
      <w:r w:rsidR="005D2F29" w:rsidRPr="002924DA">
        <w:rPr>
          <w:rFonts w:ascii="Times New Roman" w:hAnsi="Times New Roman" w:cs="Times New Roman"/>
          <w:sz w:val="24"/>
          <w:szCs w:val="24"/>
        </w:rPr>
        <w:t xml:space="preserve">WDB needs more time to draft a response, the WDB Director must send an extension request to the </w:t>
      </w:r>
      <w:r w:rsidR="00456A55">
        <w:rPr>
          <w:rFonts w:ascii="Times New Roman" w:hAnsi="Times New Roman" w:cs="Times New Roman"/>
          <w:sz w:val="24"/>
          <w:szCs w:val="24"/>
        </w:rPr>
        <w:t>m</w:t>
      </w:r>
      <w:r w:rsidR="00DF1A0C">
        <w:rPr>
          <w:rFonts w:ascii="Times New Roman" w:hAnsi="Times New Roman" w:cs="Times New Roman"/>
          <w:sz w:val="24"/>
          <w:szCs w:val="24"/>
        </w:rPr>
        <w:t>onitor</w:t>
      </w:r>
      <w:r w:rsidR="005D2F29" w:rsidRPr="002924DA">
        <w:rPr>
          <w:rFonts w:ascii="Times New Roman" w:hAnsi="Times New Roman" w:cs="Times New Roman"/>
          <w:sz w:val="24"/>
          <w:szCs w:val="24"/>
        </w:rPr>
        <w:t xml:space="preserve"> as soon as possible, explaining the reason for the requested extension and the anticipated revised response date. Extension requests will be reviewed on a case-by-case basis.</w:t>
      </w:r>
    </w:p>
    <w:p w14:paraId="043706BD" w14:textId="5DC6820F" w:rsidR="00DC4BD5" w:rsidRPr="002924DA" w:rsidRDefault="00DC4BD5" w:rsidP="009F0DBF">
      <w:pPr>
        <w:spacing w:after="181" w:line="248" w:lineRule="auto"/>
        <w:ind w:left="9" w:right="11" w:hanging="9"/>
        <w:jc w:val="both"/>
        <w:rPr>
          <w:rFonts w:ascii="Times New Roman" w:eastAsia="Times New Roman" w:hAnsi="Times New Roman" w:cs="Times New Roman"/>
          <w:color w:val="000000"/>
          <w:sz w:val="24"/>
          <w:szCs w:val="24"/>
        </w:rPr>
      </w:pPr>
      <w:r w:rsidRPr="002924DA">
        <w:rPr>
          <w:rFonts w:ascii="Times New Roman" w:eastAsia="Times New Roman" w:hAnsi="Times New Roman" w:cs="Times New Roman"/>
          <w:color w:val="000000"/>
          <w:sz w:val="24"/>
          <w:szCs w:val="24"/>
        </w:rPr>
        <w:t xml:space="preserve">When resolving questioned costs, </w:t>
      </w:r>
      <w:r w:rsidR="00044DDB" w:rsidRPr="00044DDB">
        <w:rPr>
          <w:rFonts w:ascii="Times New Roman" w:eastAsia="Times New Roman" w:hAnsi="Times New Roman" w:cs="Times New Roman"/>
          <w:color w:val="000000"/>
          <w:sz w:val="24"/>
          <w:szCs w:val="24"/>
        </w:rPr>
        <w:t>a cost that is questioned by an auditor, Federal Project Officer, Grant Officer, or other authorized Awarding agency representative because of an audit or monitoring finding</w:t>
      </w:r>
      <w:r w:rsidR="00044DDB">
        <w:rPr>
          <w:rFonts w:ascii="Times New Roman" w:eastAsia="Times New Roman" w:hAnsi="Times New Roman" w:cs="Times New Roman"/>
          <w:color w:val="000000"/>
          <w:sz w:val="24"/>
          <w:szCs w:val="24"/>
        </w:rPr>
        <w:t xml:space="preserve">, </w:t>
      </w:r>
      <w:r w:rsidRPr="002924DA">
        <w:rPr>
          <w:rFonts w:ascii="Times New Roman" w:eastAsia="Times New Roman" w:hAnsi="Times New Roman" w:cs="Times New Roman"/>
          <w:color w:val="000000"/>
          <w:sz w:val="24"/>
          <w:szCs w:val="24"/>
        </w:rPr>
        <w:t xml:space="preserve">it is important to take prompt action. If the costs were lacking supporting documentation, the issue can be resolved if the appropriate documents are provided. If that is not possible, or if the costs were incurred in violation of requirements, cost principles, or grant terms, then another funding source must be substituted, and any costs paid </w:t>
      </w:r>
      <w:r w:rsidR="007E2C9E">
        <w:rPr>
          <w:rFonts w:ascii="Times New Roman" w:eastAsia="Times New Roman" w:hAnsi="Times New Roman" w:cs="Times New Roman"/>
          <w:color w:val="000000"/>
          <w:sz w:val="24"/>
          <w:szCs w:val="24"/>
        </w:rPr>
        <w:t xml:space="preserve">must be </w:t>
      </w:r>
      <w:r w:rsidRPr="002924DA">
        <w:rPr>
          <w:rFonts w:ascii="Times New Roman" w:eastAsia="Times New Roman" w:hAnsi="Times New Roman" w:cs="Times New Roman"/>
          <w:color w:val="000000"/>
          <w:sz w:val="24"/>
          <w:szCs w:val="24"/>
        </w:rPr>
        <w:t xml:space="preserve">returned to DWS.  </w:t>
      </w:r>
    </w:p>
    <w:p w14:paraId="11A5930C" w14:textId="48E04EE8" w:rsidR="005C36FC" w:rsidRDefault="00DC4BD5" w:rsidP="008E62A4">
      <w:pPr>
        <w:spacing w:after="181" w:line="248" w:lineRule="auto"/>
        <w:ind w:left="9" w:right="11" w:hanging="9"/>
        <w:jc w:val="both"/>
        <w:rPr>
          <w:rFonts w:ascii="Times New Roman" w:eastAsia="Times New Roman" w:hAnsi="Times New Roman" w:cs="Times New Roman"/>
          <w:color w:val="000000"/>
          <w:sz w:val="24"/>
          <w:szCs w:val="24"/>
        </w:rPr>
      </w:pPr>
      <w:r w:rsidRPr="002924DA">
        <w:rPr>
          <w:rFonts w:ascii="Times New Roman" w:eastAsia="Times New Roman" w:hAnsi="Times New Roman" w:cs="Times New Roman"/>
          <w:color w:val="000000"/>
          <w:sz w:val="24"/>
          <w:szCs w:val="24"/>
        </w:rPr>
        <w:t xml:space="preserve">The </w:t>
      </w:r>
      <w:r w:rsidR="00456A55">
        <w:rPr>
          <w:rFonts w:ascii="Times New Roman" w:eastAsia="Times New Roman" w:hAnsi="Times New Roman" w:cs="Times New Roman"/>
          <w:color w:val="000000"/>
          <w:sz w:val="24"/>
          <w:szCs w:val="24"/>
        </w:rPr>
        <w:t>m</w:t>
      </w:r>
      <w:r w:rsidRPr="002924DA">
        <w:rPr>
          <w:rFonts w:ascii="Times New Roman" w:eastAsia="Times New Roman" w:hAnsi="Times New Roman" w:cs="Times New Roman"/>
          <w:color w:val="000000"/>
          <w:sz w:val="24"/>
          <w:szCs w:val="24"/>
        </w:rPr>
        <w:t xml:space="preserve">onitor will review all corrective action plans submitted and evaluate the content of the plan to determine if it is sufficient to reasonably result in </w:t>
      </w:r>
      <w:r w:rsidR="007E2C9E">
        <w:rPr>
          <w:rFonts w:ascii="Times New Roman" w:eastAsia="Times New Roman" w:hAnsi="Times New Roman" w:cs="Times New Roman"/>
          <w:color w:val="000000"/>
          <w:sz w:val="24"/>
          <w:szCs w:val="24"/>
        </w:rPr>
        <w:t xml:space="preserve">a </w:t>
      </w:r>
      <w:r w:rsidRPr="002924DA">
        <w:rPr>
          <w:rFonts w:ascii="Times New Roman" w:eastAsia="Times New Roman" w:hAnsi="Times New Roman" w:cs="Times New Roman"/>
          <w:color w:val="000000"/>
          <w:sz w:val="24"/>
          <w:szCs w:val="24"/>
        </w:rPr>
        <w:t xml:space="preserve">resolution of the finding.  </w:t>
      </w:r>
      <w:r w:rsidR="00DF1A0C" w:rsidRPr="002924DA">
        <w:rPr>
          <w:rFonts w:ascii="Times New Roman" w:eastAsia="Times New Roman" w:hAnsi="Times New Roman" w:cs="Times New Roman"/>
          <w:color w:val="000000"/>
          <w:sz w:val="24"/>
          <w:szCs w:val="24"/>
        </w:rPr>
        <w:t xml:space="preserve">If the CAP or documentation are unacceptable or insufficient, DWS must explain why and identify what additional actions are needed for </w:t>
      </w:r>
      <w:r w:rsidR="0017125C">
        <w:rPr>
          <w:rFonts w:ascii="Times New Roman" w:eastAsia="Times New Roman" w:hAnsi="Times New Roman" w:cs="Times New Roman"/>
          <w:color w:val="000000"/>
          <w:sz w:val="24"/>
          <w:szCs w:val="24"/>
        </w:rPr>
        <w:t xml:space="preserve">a </w:t>
      </w:r>
      <w:r w:rsidR="00DF1A0C" w:rsidRPr="002924DA">
        <w:rPr>
          <w:rFonts w:ascii="Times New Roman" w:eastAsia="Times New Roman" w:hAnsi="Times New Roman" w:cs="Times New Roman"/>
          <w:color w:val="000000"/>
          <w:sz w:val="24"/>
          <w:szCs w:val="24"/>
        </w:rPr>
        <w:t>resolution.</w:t>
      </w:r>
      <w:r w:rsidR="00DF1A0C">
        <w:rPr>
          <w:rFonts w:ascii="Times New Roman" w:eastAsia="Times New Roman" w:hAnsi="Times New Roman" w:cs="Times New Roman"/>
          <w:color w:val="000000"/>
          <w:sz w:val="24"/>
          <w:szCs w:val="24"/>
        </w:rPr>
        <w:t xml:space="preserve"> </w:t>
      </w:r>
      <w:r w:rsidRPr="002924DA">
        <w:rPr>
          <w:rFonts w:ascii="Times New Roman" w:eastAsia="Times New Roman" w:hAnsi="Times New Roman" w:cs="Times New Roman"/>
          <w:color w:val="000000"/>
          <w:sz w:val="24"/>
          <w:szCs w:val="24"/>
        </w:rPr>
        <w:t xml:space="preserve">A written statement will be issued within ten (10) working days acknowledging receipt, approving </w:t>
      </w:r>
      <w:r w:rsidR="007E2C9E">
        <w:rPr>
          <w:rFonts w:ascii="Times New Roman" w:eastAsia="Times New Roman" w:hAnsi="Times New Roman" w:cs="Times New Roman"/>
          <w:color w:val="000000"/>
          <w:sz w:val="24"/>
          <w:szCs w:val="24"/>
        </w:rPr>
        <w:t xml:space="preserve">a </w:t>
      </w:r>
      <w:r w:rsidRPr="002924DA">
        <w:rPr>
          <w:rFonts w:ascii="Times New Roman" w:eastAsia="Times New Roman" w:hAnsi="Times New Roman" w:cs="Times New Roman"/>
          <w:color w:val="000000"/>
          <w:sz w:val="24"/>
          <w:szCs w:val="24"/>
        </w:rPr>
        <w:t xml:space="preserve">plan resolving findings or requiring additional action. The local area may request a meeting to discuss any corrective action plan </w:t>
      </w:r>
      <w:r w:rsidR="0017125C">
        <w:rPr>
          <w:rFonts w:ascii="Times New Roman" w:eastAsia="Times New Roman" w:hAnsi="Times New Roman" w:cs="Times New Roman"/>
          <w:color w:val="000000"/>
          <w:sz w:val="24"/>
          <w:szCs w:val="24"/>
        </w:rPr>
        <w:t xml:space="preserve">that </w:t>
      </w:r>
      <w:r w:rsidRPr="002924DA">
        <w:rPr>
          <w:rFonts w:ascii="Times New Roman" w:eastAsia="Times New Roman" w:hAnsi="Times New Roman" w:cs="Times New Roman"/>
          <w:color w:val="000000"/>
          <w:sz w:val="24"/>
          <w:szCs w:val="24"/>
        </w:rPr>
        <w:t xml:space="preserve">is not accepted for resolution.  </w:t>
      </w:r>
    </w:p>
    <w:p w14:paraId="5EAD8D70" w14:textId="3A72012C" w:rsidR="00DC4BD5" w:rsidRPr="002924DA" w:rsidRDefault="005A6401" w:rsidP="00361C53">
      <w:pPr>
        <w:spacing w:after="181" w:line="248" w:lineRule="auto"/>
        <w:ind w:left="9" w:right="11" w:hanging="9"/>
        <w:jc w:val="both"/>
        <w:rPr>
          <w:rFonts w:ascii="Times New Roman" w:hAnsi="Times New Roman" w:cs="Times New Roman"/>
          <w:b/>
          <w:bCs/>
          <w:sz w:val="24"/>
          <w:szCs w:val="24"/>
          <w:u w:val="single"/>
        </w:rPr>
      </w:pPr>
      <w:r w:rsidRPr="002924DA">
        <w:rPr>
          <w:rFonts w:ascii="Times New Roman" w:hAnsi="Times New Roman" w:cs="Times New Roman"/>
          <w:b/>
          <w:bCs/>
          <w:sz w:val="24"/>
          <w:szCs w:val="24"/>
          <w:u w:val="single"/>
        </w:rPr>
        <w:t xml:space="preserve">Frequency and </w:t>
      </w:r>
      <w:r w:rsidR="00095C48" w:rsidRPr="002924DA">
        <w:rPr>
          <w:rFonts w:ascii="Times New Roman" w:hAnsi="Times New Roman" w:cs="Times New Roman"/>
          <w:b/>
          <w:bCs/>
          <w:sz w:val="24"/>
          <w:szCs w:val="24"/>
          <w:u w:val="single"/>
        </w:rPr>
        <w:t>Time Schedule</w:t>
      </w:r>
    </w:p>
    <w:p w14:paraId="69D423F8" w14:textId="6A045767" w:rsidR="005A6401" w:rsidRDefault="005C028A" w:rsidP="009F0DBF">
      <w:pPr>
        <w:jc w:val="both"/>
        <w:rPr>
          <w:rFonts w:ascii="Times New Roman" w:hAnsi="Times New Roman" w:cs="Times New Roman"/>
          <w:sz w:val="24"/>
          <w:szCs w:val="24"/>
        </w:rPr>
      </w:pPr>
      <w:r>
        <w:rPr>
          <w:rFonts w:ascii="Times New Roman" w:hAnsi="Times New Roman" w:cs="Times New Roman"/>
          <w:sz w:val="24"/>
          <w:szCs w:val="24"/>
        </w:rPr>
        <w:t>R</w:t>
      </w:r>
      <w:r w:rsidR="00044DDB" w:rsidRPr="00044DDB">
        <w:rPr>
          <w:rFonts w:ascii="Times New Roman" w:hAnsi="Times New Roman" w:cs="Times New Roman"/>
          <w:sz w:val="24"/>
          <w:szCs w:val="24"/>
        </w:rPr>
        <w:t>eviews are conducted on a</w:t>
      </w:r>
      <w:r>
        <w:rPr>
          <w:rFonts w:ascii="Times New Roman" w:hAnsi="Times New Roman" w:cs="Times New Roman"/>
          <w:sz w:val="24"/>
          <w:szCs w:val="24"/>
        </w:rPr>
        <w:t xml:space="preserve"> quarterly </w:t>
      </w:r>
      <w:r w:rsidR="00044DDB" w:rsidRPr="00044DDB">
        <w:rPr>
          <w:rFonts w:ascii="Times New Roman" w:hAnsi="Times New Roman" w:cs="Times New Roman"/>
          <w:sz w:val="24"/>
          <w:szCs w:val="24"/>
        </w:rPr>
        <w:t>basis</w:t>
      </w:r>
      <w:r>
        <w:rPr>
          <w:rFonts w:ascii="Times New Roman" w:hAnsi="Times New Roman" w:cs="Times New Roman"/>
          <w:sz w:val="24"/>
          <w:szCs w:val="24"/>
        </w:rPr>
        <w:t xml:space="preserve"> while monitoring </w:t>
      </w:r>
      <w:r w:rsidRPr="3930D632">
        <w:rPr>
          <w:rFonts w:ascii="Times New Roman" w:hAnsi="Times New Roman" w:cs="Times New Roman"/>
          <w:sz w:val="24"/>
          <w:szCs w:val="24"/>
        </w:rPr>
        <w:t xml:space="preserve">onsite </w:t>
      </w:r>
      <w:r>
        <w:rPr>
          <w:rFonts w:ascii="Times New Roman" w:hAnsi="Times New Roman" w:cs="Times New Roman"/>
          <w:sz w:val="24"/>
          <w:szCs w:val="24"/>
        </w:rPr>
        <w:t>visits are conducted at least once annually. T</w:t>
      </w:r>
      <w:r w:rsidR="00044DDB" w:rsidRPr="00044DDB">
        <w:rPr>
          <w:rFonts w:ascii="Times New Roman" w:hAnsi="Times New Roman" w:cs="Times New Roman"/>
          <w:sz w:val="24"/>
          <w:szCs w:val="24"/>
        </w:rPr>
        <w:t xml:space="preserve">he possibility of altered frequency </w:t>
      </w:r>
      <w:r>
        <w:rPr>
          <w:rFonts w:ascii="Times New Roman" w:hAnsi="Times New Roman" w:cs="Times New Roman"/>
          <w:sz w:val="24"/>
          <w:szCs w:val="24"/>
        </w:rPr>
        <w:t xml:space="preserve">is </w:t>
      </w:r>
      <w:r w:rsidR="00044DDB" w:rsidRPr="00044DDB">
        <w:rPr>
          <w:rFonts w:ascii="Times New Roman" w:hAnsi="Times New Roman" w:cs="Times New Roman"/>
          <w:sz w:val="24"/>
          <w:szCs w:val="24"/>
        </w:rPr>
        <w:t xml:space="preserve">at the discretion of the </w:t>
      </w:r>
      <w:r>
        <w:rPr>
          <w:rFonts w:ascii="Times New Roman" w:hAnsi="Times New Roman" w:cs="Times New Roman"/>
          <w:sz w:val="24"/>
          <w:szCs w:val="24"/>
        </w:rPr>
        <w:t xml:space="preserve">DWS. </w:t>
      </w:r>
      <w:r w:rsidR="005A6401" w:rsidRPr="002924DA">
        <w:rPr>
          <w:rFonts w:ascii="Times New Roman" w:hAnsi="Times New Roman" w:cs="Times New Roman"/>
          <w:sz w:val="24"/>
          <w:szCs w:val="24"/>
        </w:rPr>
        <w:t xml:space="preserve">The following is </w:t>
      </w:r>
      <w:r w:rsidR="00871414" w:rsidRPr="002924DA">
        <w:rPr>
          <w:rFonts w:ascii="Times New Roman" w:hAnsi="Times New Roman" w:cs="Times New Roman"/>
          <w:sz w:val="24"/>
          <w:szCs w:val="24"/>
        </w:rPr>
        <w:t>the</w:t>
      </w:r>
      <w:r w:rsidR="005A6401" w:rsidRPr="002924DA">
        <w:rPr>
          <w:rFonts w:ascii="Times New Roman" w:hAnsi="Times New Roman" w:cs="Times New Roman"/>
          <w:sz w:val="24"/>
          <w:szCs w:val="24"/>
        </w:rPr>
        <w:t xml:space="preserve"> </w:t>
      </w:r>
      <w:r w:rsidR="00871414" w:rsidRPr="002924DA">
        <w:rPr>
          <w:rFonts w:ascii="Times New Roman" w:hAnsi="Times New Roman" w:cs="Times New Roman"/>
          <w:sz w:val="24"/>
          <w:szCs w:val="24"/>
        </w:rPr>
        <w:t>program</w:t>
      </w:r>
      <w:r w:rsidR="005A6401" w:rsidRPr="002924DA">
        <w:rPr>
          <w:rFonts w:ascii="Times New Roman" w:hAnsi="Times New Roman" w:cs="Times New Roman"/>
          <w:sz w:val="24"/>
          <w:szCs w:val="24"/>
        </w:rPr>
        <w:t xml:space="preserve"> review schedule: </w:t>
      </w:r>
    </w:p>
    <w:p w14:paraId="0A74DBE8" w14:textId="037D0560" w:rsidR="005A6401" w:rsidRPr="002924DA" w:rsidRDefault="005A6401" w:rsidP="009F0DBF">
      <w:pPr>
        <w:jc w:val="both"/>
        <w:rPr>
          <w:rFonts w:ascii="Times New Roman" w:hAnsi="Times New Roman" w:cs="Times New Roman"/>
          <w:b/>
          <w:bCs/>
          <w:sz w:val="24"/>
          <w:szCs w:val="24"/>
        </w:rPr>
      </w:pPr>
      <w:r w:rsidRPr="002924DA">
        <w:rPr>
          <w:rFonts w:ascii="Times New Roman" w:hAnsi="Times New Roman" w:cs="Times New Roman"/>
          <w:b/>
          <w:bCs/>
          <w:sz w:val="24"/>
          <w:szCs w:val="24"/>
          <w:u w:val="single"/>
        </w:rPr>
        <w:lastRenderedPageBreak/>
        <w:t xml:space="preserve">Review </w:t>
      </w:r>
      <w:r w:rsidRPr="002924DA">
        <w:rPr>
          <w:rFonts w:ascii="Times New Roman" w:hAnsi="Times New Roman" w:cs="Times New Roman"/>
          <w:b/>
          <w:bCs/>
          <w:sz w:val="24"/>
          <w:szCs w:val="24"/>
        </w:rPr>
        <w:tab/>
      </w:r>
      <w:r w:rsidRPr="002924DA">
        <w:rPr>
          <w:rFonts w:ascii="Times New Roman" w:hAnsi="Times New Roman" w:cs="Times New Roman"/>
          <w:b/>
          <w:bCs/>
          <w:sz w:val="24"/>
          <w:szCs w:val="24"/>
        </w:rPr>
        <w:tab/>
      </w:r>
      <w:r w:rsidRPr="002924DA">
        <w:rPr>
          <w:rFonts w:ascii="Times New Roman" w:hAnsi="Times New Roman" w:cs="Times New Roman"/>
          <w:b/>
          <w:bCs/>
          <w:sz w:val="24"/>
          <w:szCs w:val="24"/>
        </w:rPr>
        <w:tab/>
      </w:r>
      <w:r w:rsidRPr="002924DA">
        <w:rPr>
          <w:rFonts w:ascii="Times New Roman" w:hAnsi="Times New Roman" w:cs="Times New Roman"/>
          <w:b/>
          <w:bCs/>
          <w:sz w:val="24"/>
          <w:szCs w:val="24"/>
        </w:rPr>
        <w:tab/>
      </w:r>
      <w:r w:rsidRPr="002924DA">
        <w:rPr>
          <w:rFonts w:ascii="Times New Roman" w:hAnsi="Times New Roman" w:cs="Times New Roman"/>
          <w:b/>
          <w:bCs/>
          <w:sz w:val="24"/>
          <w:szCs w:val="24"/>
        </w:rPr>
        <w:tab/>
      </w:r>
      <w:r w:rsidRPr="002924DA">
        <w:rPr>
          <w:rFonts w:ascii="Times New Roman" w:hAnsi="Times New Roman" w:cs="Times New Roman"/>
          <w:b/>
          <w:bCs/>
          <w:sz w:val="24"/>
          <w:szCs w:val="24"/>
        </w:rPr>
        <w:tab/>
      </w:r>
      <w:r w:rsidRPr="002924DA">
        <w:rPr>
          <w:rFonts w:ascii="Times New Roman" w:hAnsi="Times New Roman" w:cs="Times New Roman"/>
          <w:b/>
          <w:bCs/>
          <w:sz w:val="24"/>
          <w:szCs w:val="24"/>
          <w:u w:val="single"/>
        </w:rPr>
        <w:t>Frequency</w:t>
      </w:r>
    </w:p>
    <w:p w14:paraId="4024FB98" w14:textId="6E43DC69" w:rsidR="005A6401" w:rsidRPr="002924DA" w:rsidRDefault="005A6401" w:rsidP="009F0DBF">
      <w:pPr>
        <w:jc w:val="both"/>
        <w:rPr>
          <w:rFonts w:ascii="Times New Roman" w:hAnsi="Times New Roman" w:cs="Times New Roman"/>
          <w:i/>
          <w:iCs/>
          <w:sz w:val="24"/>
          <w:szCs w:val="24"/>
        </w:rPr>
      </w:pPr>
      <w:r w:rsidRPr="002924DA">
        <w:rPr>
          <w:rFonts w:ascii="Times New Roman" w:hAnsi="Times New Roman" w:cs="Times New Roman"/>
          <w:i/>
          <w:iCs/>
          <w:sz w:val="24"/>
          <w:szCs w:val="24"/>
        </w:rPr>
        <w:t xml:space="preserve">Desk Reviews </w:t>
      </w:r>
      <w:r w:rsidRPr="002924DA">
        <w:rPr>
          <w:rFonts w:ascii="Times New Roman" w:hAnsi="Times New Roman" w:cs="Times New Roman"/>
          <w:i/>
          <w:iCs/>
          <w:sz w:val="24"/>
          <w:szCs w:val="24"/>
        </w:rPr>
        <w:tab/>
      </w:r>
      <w:r w:rsidRPr="002924DA">
        <w:rPr>
          <w:rFonts w:ascii="Times New Roman" w:hAnsi="Times New Roman" w:cs="Times New Roman"/>
          <w:i/>
          <w:iCs/>
          <w:sz w:val="24"/>
          <w:szCs w:val="24"/>
        </w:rPr>
        <w:tab/>
      </w:r>
      <w:r w:rsidRPr="002924DA">
        <w:rPr>
          <w:rFonts w:ascii="Times New Roman" w:hAnsi="Times New Roman" w:cs="Times New Roman"/>
          <w:i/>
          <w:iCs/>
          <w:sz w:val="24"/>
          <w:szCs w:val="24"/>
        </w:rPr>
        <w:tab/>
      </w:r>
      <w:r w:rsidRPr="002924DA">
        <w:rPr>
          <w:rFonts w:ascii="Times New Roman" w:hAnsi="Times New Roman" w:cs="Times New Roman"/>
          <w:i/>
          <w:iCs/>
          <w:sz w:val="24"/>
          <w:szCs w:val="24"/>
        </w:rPr>
        <w:tab/>
      </w:r>
      <w:r w:rsidRPr="002924DA">
        <w:rPr>
          <w:rFonts w:ascii="Times New Roman" w:hAnsi="Times New Roman" w:cs="Times New Roman"/>
          <w:i/>
          <w:iCs/>
          <w:sz w:val="24"/>
          <w:szCs w:val="24"/>
        </w:rPr>
        <w:tab/>
      </w:r>
      <w:r w:rsidRPr="002924DA">
        <w:rPr>
          <w:rFonts w:cs="Times New Roman"/>
          <w:i/>
          <w:iCs/>
          <w:sz w:val="24"/>
          <w:szCs w:val="24"/>
        </w:rPr>
        <w:tab/>
      </w:r>
      <w:r w:rsidRPr="002924DA">
        <w:rPr>
          <w:rFonts w:ascii="Times New Roman" w:hAnsi="Times New Roman" w:cs="Times New Roman"/>
          <w:i/>
          <w:iCs/>
          <w:sz w:val="24"/>
          <w:szCs w:val="24"/>
        </w:rPr>
        <w:t>Quarterly</w:t>
      </w:r>
    </w:p>
    <w:p w14:paraId="65D4C56A" w14:textId="3C6B8C40" w:rsidR="005A6401" w:rsidRPr="002924DA" w:rsidRDefault="005A6401" w:rsidP="009F0DBF">
      <w:pPr>
        <w:jc w:val="both"/>
        <w:rPr>
          <w:rFonts w:ascii="Times New Roman" w:hAnsi="Times New Roman" w:cs="Times New Roman"/>
          <w:i/>
          <w:iCs/>
          <w:sz w:val="24"/>
          <w:szCs w:val="24"/>
        </w:rPr>
      </w:pPr>
      <w:r w:rsidRPr="002924DA">
        <w:rPr>
          <w:rFonts w:ascii="Times New Roman" w:hAnsi="Times New Roman" w:cs="Times New Roman"/>
          <w:i/>
          <w:iCs/>
          <w:sz w:val="24"/>
          <w:szCs w:val="24"/>
        </w:rPr>
        <w:t xml:space="preserve">WIOA Adult </w:t>
      </w:r>
      <w:r w:rsidRPr="002924DA">
        <w:rPr>
          <w:rFonts w:ascii="Times New Roman" w:hAnsi="Times New Roman" w:cs="Times New Roman"/>
          <w:i/>
          <w:iCs/>
          <w:sz w:val="24"/>
          <w:szCs w:val="24"/>
        </w:rPr>
        <w:tab/>
      </w:r>
      <w:r w:rsidRPr="002924DA">
        <w:rPr>
          <w:rFonts w:ascii="Times New Roman" w:hAnsi="Times New Roman" w:cs="Times New Roman"/>
          <w:i/>
          <w:iCs/>
          <w:sz w:val="24"/>
          <w:szCs w:val="24"/>
        </w:rPr>
        <w:tab/>
      </w:r>
      <w:r w:rsidRPr="002924DA">
        <w:rPr>
          <w:rFonts w:ascii="Times New Roman" w:hAnsi="Times New Roman" w:cs="Times New Roman"/>
          <w:i/>
          <w:iCs/>
          <w:sz w:val="24"/>
          <w:szCs w:val="24"/>
        </w:rPr>
        <w:tab/>
      </w:r>
      <w:r w:rsidRPr="002924DA">
        <w:rPr>
          <w:rFonts w:ascii="Times New Roman" w:hAnsi="Times New Roman" w:cs="Times New Roman"/>
          <w:i/>
          <w:iCs/>
          <w:sz w:val="24"/>
          <w:szCs w:val="24"/>
        </w:rPr>
        <w:tab/>
      </w:r>
      <w:r w:rsidRPr="002924DA">
        <w:rPr>
          <w:rFonts w:ascii="Times New Roman" w:hAnsi="Times New Roman" w:cs="Times New Roman"/>
          <w:i/>
          <w:iCs/>
          <w:sz w:val="24"/>
          <w:szCs w:val="24"/>
        </w:rPr>
        <w:tab/>
      </w:r>
      <w:r w:rsidRPr="002924DA">
        <w:rPr>
          <w:rFonts w:ascii="Times New Roman" w:hAnsi="Times New Roman" w:cs="Times New Roman"/>
          <w:i/>
          <w:iCs/>
          <w:sz w:val="24"/>
          <w:szCs w:val="24"/>
        </w:rPr>
        <w:tab/>
        <w:t>Annually</w:t>
      </w:r>
    </w:p>
    <w:p w14:paraId="2EA6737D" w14:textId="04F04081" w:rsidR="005A6401" w:rsidRPr="002924DA" w:rsidRDefault="005A6401" w:rsidP="009F0DBF">
      <w:pPr>
        <w:jc w:val="both"/>
        <w:rPr>
          <w:rFonts w:ascii="Times New Roman" w:hAnsi="Times New Roman" w:cs="Times New Roman"/>
          <w:i/>
          <w:iCs/>
          <w:sz w:val="24"/>
          <w:szCs w:val="24"/>
        </w:rPr>
      </w:pPr>
      <w:r w:rsidRPr="002924DA">
        <w:rPr>
          <w:rFonts w:ascii="Times New Roman" w:hAnsi="Times New Roman" w:cs="Times New Roman"/>
          <w:i/>
          <w:iCs/>
          <w:sz w:val="24"/>
          <w:szCs w:val="24"/>
        </w:rPr>
        <w:t xml:space="preserve">WIOA Dislocated Worker </w:t>
      </w:r>
      <w:r w:rsidRPr="002924DA">
        <w:rPr>
          <w:rFonts w:ascii="Times New Roman" w:hAnsi="Times New Roman" w:cs="Times New Roman"/>
          <w:i/>
          <w:iCs/>
          <w:sz w:val="24"/>
          <w:szCs w:val="24"/>
        </w:rPr>
        <w:tab/>
      </w:r>
      <w:r w:rsidRPr="002924DA">
        <w:rPr>
          <w:rFonts w:ascii="Times New Roman" w:hAnsi="Times New Roman" w:cs="Times New Roman"/>
          <w:i/>
          <w:iCs/>
          <w:sz w:val="24"/>
          <w:szCs w:val="24"/>
        </w:rPr>
        <w:tab/>
      </w:r>
      <w:r w:rsidRPr="002924DA">
        <w:rPr>
          <w:rFonts w:ascii="Times New Roman" w:hAnsi="Times New Roman" w:cs="Times New Roman"/>
          <w:i/>
          <w:iCs/>
          <w:sz w:val="24"/>
          <w:szCs w:val="24"/>
        </w:rPr>
        <w:tab/>
      </w:r>
      <w:r w:rsidRPr="002924DA">
        <w:rPr>
          <w:rFonts w:cs="Times New Roman"/>
          <w:i/>
          <w:iCs/>
          <w:sz w:val="24"/>
          <w:szCs w:val="24"/>
        </w:rPr>
        <w:tab/>
      </w:r>
      <w:r w:rsidRPr="002924DA">
        <w:rPr>
          <w:rFonts w:ascii="Times New Roman" w:hAnsi="Times New Roman" w:cs="Times New Roman"/>
          <w:i/>
          <w:iCs/>
          <w:sz w:val="24"/>
          <w:szCs w:val="24"/>
        </w:rPr>
        <w:t>Annually</w:t>
      </w:r>
    </w:p>
    <w:p w14:paraId="42A93F2D" w14:textId="0FE752C2" w:rsidR="005A6401" w:rsidRPr="002924DA" w:rsidRDefault="005A6401" w:rsidP="009F0DBF">
      <w:pPr>
        <w:jc w:val="both"/>
        <w:rPr>
          <w:rFonts w:ascii="Times New Roman" w:hAnsi="Times New Roman" w:cs="Times New Roman"/>
          <w:i/>
          <w:iCs/>
          <w:sz w:val="24"/>
          <w:szCs w:val="24"/>
        </w:rPr>
      </w:pPr>
      <w:r w:rsidRPr="002924DA">
        <w:rPr>
          <w:rFonts w:ascii="Times New Roman" w:hAnsi="Times New Roman" w:cs="Times New Roman"/>
          <w:i/>
          <w:iCs/>
          <w:sz w:val="24"/>
          <w:szCs w:val="24"/>
        </w:rPr>
        <w:t xml:space="preserve">WIOA Youth </w:t>
      </w:r>
      <w:r w:rsidRPr="002924DA">
        <w:rPr>
          <w:rFonts w:ascii="Times New Roman" w:hAnsi="Times New Roman" w:cs="Times New Roman"/>
          <w:i/>
          <w:iCs/>
          <w:sz w:val="24"/>
          <w:szCs w:val="24"/>
        </w:rPr>
        <w:tab/>
      </w:r>
      <w:r w:rsidRPr="002924DA">
        <w:rPr>
          <w:rFonts w:ascii="Times New Roman" w:hAnsi="Times New Roman" w:cs="Times New Roman"/>
          <w:i/>
          <w:iCs/>
          <w:sz w:val="24"/>
          <w:szCs w:val="24"/>
        </w:rPr>
        <w:tab/>
      </w:r>
      <w:r w:rsidRPr="002924DA">
        <w:rPr>
          <w:rFonts w:ascii="Times New Roman" w:hAnsi="Times New Roman" w:cs="Times New Roman"/>
          <w:i/>
          <w:iCs/>
          <w:sz w:val="24"/>
          <w:szCs w:val="24"/>
        </w:rPr>
        <w:tab/>
      </w:r>
      <w:r w:rsidRPr="002924DA">
        <w:rPr>
          <w:rFonts w:ascii="Times New Roman" w:hAnsi="Times New Roman" w:cs="Times New Roman"/>
          <w:i/>
          <w:iCs/>
          <w:sz w:val="24"/>
          <w:szCs w:val="24"/>
        </w:rPr>
        <w:tab/>
      </w:r>
      <w:r w:rsidRPr="002924DA">
        <w:rPr>
          <w:rFonts w:ascii="Times New Roman" w:hAnsi="Times New Roman" w:cs="Times New Roman"/>
          <w:i/>
          <w:iCs/>
          <w:sz w:val="24"/>
          <w:szCs w:val="24"/>
        </w:rPr>
        <w:tab/>
      </w:r>
      <w:r w:rsidRPr="002924DA">
        <w:rPr>
          <w:rFonts w:cs="Times New Roman"/>
          <w:i/>
          <w:iCs/>
          <w:sz w:val="24"/>
          <w:szCs w:val="24"/>
        </w:rPr>
        <w:tab/>
      </w:r>
      <w:r w:rsidRPr="002924DA">
        <w:rPr>
          <w:rFonts w:ascii="Times New Roman" w:hAnsi="Times New Roman" w:cs="Times New Roman"/>
          <w:i/>
          <w:iCs/>
          <w:sz w:val="24"/>
          <w:szCs w:val="24"/>
        </w:rPr>
        <w:t>Annually</w:t>
      </w:r>
    </w:p>
    <w:p w14:paraId="3A8500B3" w14:textId="77777777" w:rsidR="005A6401" w:rsidRPr="002924DA" w:rsidRDefault="005A6401" w:rsidP="009F0DBF">
      <w:pPr>
        <w:jc w:val="both"/>
        <w:rPr>
          <w:rFonts w:ascii="Times New Roman" w:hAnsi="Times New Roman" w:cs="Times New Roman"/>
          <w:sz w:val="24"/>
          <w:szCs w:val="24"/>
        </w:rPr>
      </w:pPr>
    </w:p>
    <w:p w14:paraId="71E98719" w14:textId="36CBBB02" w:rsidR="005A6401" w:rsidRPr="002924DA" w:rsidRDefault="005A6401" w:rsidP="009F0DBF">
      <w:pPr>
        <w:jc w:val="both"/>
        <w:rPr>
          <w:rFonts w:ascii="Times New Roman" w:hAnsi="Times New Roman" w:cs="Times New Roman"/>
          <w:sz w:val="24"/>
          <w:szCs w:val="24"/>
        </w:rPr>
      </w:pPr>
      <w:r w:rsidRPr="002924DA">
        <w:rPr>
          <w:rFonts w:ascii="Times New Roman" w:hAnsi="Times New Roman" w:cs="Times New Roman"/>
          <w:sz w:val="24"/>
          <w:szCs w:val="24"/>
        </w:rPr>
        <w:t xml:space="preserve">The following is the </w:t>
      </w:r>
      <w:r w:rsidR="00871414" w:rsidRPr="002924DA">
        <w:rPr>
          <w:rFonts w:ascii="Times New Roman" w:hAnsi="Times New Roman" w:cs="Times New Roman"/>
          <w:sz w:val="24"/>
          <w:szCs w:val="24"/>
        </w:rPr>
        <w:t xml:space="preserve">fiscal </w:t>
      </w:r>
      <w:r w:rsidRPr="002924DA">
        <w:rPr>
          <w:rFonts w:ascii="Times New Roman" w:hAnsi="Times New Roman" w:cs="Times New Roman"/>
          <w:sz w:val="24"/>
          <w:szCs w:val="24"/>
        </w:rPr>
        <w:t xml:space="preserve">review schedule: </w:t>
      </w:r>
    </w:p>
    <w:p w14:paraId="26F0BD8C" w14:textId="136D4DF0" w:rsidR="005A6401" w:rsidRPr="002924DA" w:rsidRDefault="005A6401" w:rsidP="009F0DBF">
      <w:pPr>
        <w:jc w:val="both"/>
        <w:rPr>
          <w:rFonts w:ascii="Times New Roman" w:hAnsi="Times New Roman" w:cs="Times New Roman"/>
          <w:sz w:val="24"/>
          <w:szCs w:val="24"/>
        </w:rPr>
      </w:pPr>
      <w:r w:rsidRPr="002924DA">
        <w:rPr>
          <w:rFonts w:ascii="Times New Roman" w:hAnsi="Times New Roman" w:cs="Times New Roman"/>
          <w:b/>
          <w:bCs/>
          <w:sz w:val="24"/>
          <w:szCs w:val="24"/>
          <w:u w:val="single"/>
        </w:rPr>
        <w:t xml:space="preserve">Review </w:t>
      </w:r>
      <w:r w:rsidRPr="002924DA">
        <w:rPr>
          <w:rFonts w:ascii="Times New Roman" w:hAnsi="Times New Roman" w:cs="Times New Roman"/>
          <w:sz w:val="24"/>
          <w:szCs w:val="24"/>
        </w:rPr>
        <w:tab/>
      </w:r>
      <w:r w:rsidRPr="002924DA">
        <w:rPr>
          <w:rFonts w:ascii="Times New Roman" w:hAnsi="Times New Roman" w:cs="Times New Roman"/>
          <w:sz w:val="24"/>
          <w:szCs w:val="24"/>
        </w:rPr>
        <w:tab/>
      </w:r>
      <w:r w:rsidRPr="002924DA">
        <w:rPr>
          <w:rFonts w:ascii="Times New Roman" w:hAnsi="Times New Roman" w:cs="Times New Roman"/>
          <w:sz w:val="24"/>
          <w:szCs w:val="24"/>
        </w:rPr>
        <w:tab/>
      </w:r>
      <w:r w:rsidRPr="002924DA">
        <w:rPr>
          <w:rFonts w:ascii="Times New Roman" w:hAnsi="Times New Roman" w:cs="Times New Roman"/>
          <w:sz w:val="24"/>
          <w:szCs w:val="24"/>
        </w:rPr>
        <w:tab/>
      </w:r>
      <w:r w:rsidRPr="002924DA">
        <w:rPr>
          <w:rFonts w:ascii="Times New Roman" w:hAnsi="Times New Roman" w:cs="Times New Roman"/>
          <w:sz w:val="24"/>
          <w:szCs w:val="24"/>
        </w:rPr>
        <w:tab/>
      </w:r>
      <w:r w:rsidRPr="002924DA">
        <w:rPr>
          <w:rFonts w:ascii="Times New Roman" w:hAnsi="Times New Roman" w:cs="Times New Roman"/>
          <w:sz w:val="24"/>
          <w:szCs w:val="24"/>
        </w:rPr>
        <w:tab/>
      </w:r>
      <w:r w:rsidRPr="002924DA">
        <w:rPr>
          <w:rFonts w:ascii="Times New Roman" w:hAnsi="Times New Roman" w:cs="Times New Roman"/>
          <w:b/>
          <w:bCs/>
          <w:sz w:val="24"/>
          <w:szCs w:val="24"/>
          <w:u w:val="single"/>
        </w:rPr>
        <w:t>Frequency</w:t>
      </w:r>
    </w:p>
    <w:p w14:paraId="7CA47A40" w14:textId="6353AAC8" w:rsidR="005A6401" w:rsidRPr="002924DA" w:rsidRDefault="005A6401" w:rsidP="009F0DBF">
      <w:pPr>
        <w:jc w:val="both"/>
        <w:rPr>
          <w:rFonts w:ascii="Times New Roman" w:hAnsi="Times New Roman" w:cs="Times New Roman"/>
          <w:i/>
          <w:iCs/>
          <w:sz w:val="24"/>
          <w:szCs w:val="24"/>
        </w:rPr>
      </w:pPr>
      <w:r w:rsidRPr="002924DA">
        <w:rPr>
          <w:rFonts w:ascii="Times New Roman" w:hAnsi="Times New Roman" w:cs="Times New Roman"/>
          <w:i/>
          <w:iCs/>
          <w:sz w:val="24"/>
          <w:szCs w:val="24"/>
        </w:rPr>
        <w:t xml:space="preserve">Desk Reviews – Financial Reports </w:t>
      </w:r>
      <w:r w:rsidRPr="002924DA">
        <w:rPr>
          <w:rFonts w:ascii="Times New Roman" w:hAnsi="Times New Roman" w:cs="Times New Roman"/>
          <w:i/>
          <w:iCs/>
          <w:sz w:val="24"/>
          <w:szCs w:val="24"/>
        </w:rPr>
        <w:tab/>
      </w:r>
      <w:r w:rsidRPr="002924DA">
        <w:rPr>
          <w:rFonts w:ascii="Times New Roman" w:hAnsi="Times New Roman" w:cs="Times New Roman"/>
          <w:i/>
          <w:iCs/>
          <w:sz w:val="24"/>
          <w:szCs w:val="24"/>
        </w:rPr>
        <w:tab/>
      </w:r>
      <w:r w:rsidRPr="002924DA">
        <w:rPr>
          <w:rFonts w:ascii="Times New Roman" w:hAnsi="Times New Roman" w:cs="Times New Roman"/>
          <w:i/>
          <w:iCs/>
          <w:sz w:val="24"/>
          <w:szCs w:val="24"/>
        </w:rPr>
        <w:tab/>
        <w:t>Quarterly</w:t>
      </w:r>
    </w:p>
    <w:p w14:paraId="4CF2D3A6" w14:textId="1BCB9625" w:rsidR="005A6401" w:rsidRPr="002924DA" w:rsidRDefault="005A6401" w:rsidP="009F0DBF">
      <w:pPr>
        <w:jc w:val="both"/>
        <w:rPr>
          <w:rFonts w:ascii="Times New Roman" w:hAnsi="Times New Roman" w:cs="Times New Roman"/>
          <w:i/>
          <w:iCs/>
          <w:sz w:val="24"/>
          <w:szCs w:val="24"/>
        </w:rPr>
      </w:pPr>
      <w:r w:rsidRPr="002924DA">
        <w:rPr>
          <w:rFonts w:ascii="Times New Roman" w:hAnsi="Times New Roman" w:cs="Times New Roman"/>
          <w:i/>
          <w:iCs/>
          <w:sz w:val="24"/>
          <w:szCs w:val="24"/>
        </w:rPr>
        <w:t xml:space="preserve">Financial Management/Cost Allocation </w:t>
      </w:r>
      <w:r w:rsidRPr="002924DA">
        <w:rPr>
          <w:rFonts w:ascii="Times New Roman" w:hAnsi="Times New Roman" w:cs="Times New Roman"/>
          <w:i/>
          <w:iCs/>
          <w:sz w:val="24"/>
          <w:szCs w:val="24"/>
        </w:rPr>
        <w:tab/>
      </w:r>
      <w:r w:rsidRPr="002924DA">
        <w:rPr>
          <w:rFonts w:ascii="Times New Roman" w:hAnsi="Times New Roman" w:cs="Times New Roman"/>
          <w:i/>
          <w:iCs/>
          <w:sz w:val="24"/>
          <w:szCs w:val="24"/>
        </w:rPr>
        <w:tab/>
        <w:t>Annually</w:t>
      </w:r>
    </w:p>
    <w:p w14:paraId="2E6A1EC5" w14:textId="5430003F" w:rsidR="005A6401" w:rsidRPr="002924DA" w:rsidRDefault="005A6401" w:rsidP="009F0DBF">
      <w:pPr>
        <w:jc w:val="both"/>
        <w:rPr>
          <w:rFonts w:ascii="Times New Roman" w:hAnsi="Times New Roman" w:cs="Times New Roman"/>
          <w:i/>
          <w:iCs/>
          <w:sz w:val="24"/>
          <w:szCs w:val="24"/>
        </w:rPr>
      </w:pPr>
      <w:r w:rsidRPr="002924DA">
        <w:rPr>
          <w:rFonts w:ascii="Times New Roman" w:hAnsi="Times New Roman" w:cs="Times New Roman"/>
          <w:i/>
          <w:iCs/>
          <w:sz w:val="24"/>
          <w:szCs w:val="24"/>
        </w:rPr>
        <w:t xml:space="preserve">Subrecipient Monitoring </w:t>
      </w:r>
      <w:r w:rsidRPr="002924DA">
        <w:rPr>
          <w:rFonts w:ascii="Times New Roman" w:hAnsi="Times New Roman" w:cs="Times New Roman"/>
          <w:i/>
          <w:iCs/>
          <w:sz w:val="24"/>
          <w:szCs w:val="24"/>
        </w:rPr>
        <w:tab/>
      </w:r>
      <w:r w:rsidRPr="002924DA">
        <w:rPr>
          <w:rFonts w:ascii="Times New Roman" w:hAnsi="Times New Roman" w:cs="Times New Roman"/>
          <w:i/>
          <w:iCs/>
          <w:sz w:val="24"/>
          <w:szCs w:val="24"/>
        </w:rPr>
        <w:tab/>
      </w:r>
      <w:r w:rsidRPr="002924DA">
        <w:rPr>
          <w:rFonts w:ascii="Times New Roman" w:hAnsi="Times New Roman" w:cs="Times New Roman"/>
          <w:i/>
          <w:iCs/>
          <w:sz w:val="24"/>
          <w:szCs w:val="24"/>
        </w:rPr>
        <w:tab/>
      </w:r>
      <w:r w:rsidRPr="002924DA">
        <w:rPr>
          <w:rFonts w:ascii="Times New Roman" w:hAnsi="Times New Roman" w:cs="Times New Roman"/>
          <w:i/>
          <w:iCs/>
          <w:sz w:val="24"/>
          <w:szCs w:val="24"/>
        </w:rPr>
        <w:tab/>
        <w:t>Annually</w:t>
      </w:r>
    </w:p>
    <w:p w14:paraId="382B3FDD" w14:textId="504A4040" w:rsidR="005A6401" w:rsidRPr="002924DA" w:rsidRDefault="005A6401" w:rsidP="009F0DBF">
      <w:pPr>
        <w:jc w:val="both"/>
        <w:rPr>
          <w:rFonts w:ascii="Times New Roman" w:hAnsi="Times New Roman" w:cs="Times New Roman"/>
          <w:i/>
          <w:iCs/>
          <w:sz w:val="24"/>
          <w:szCs w:val="24"/>
        </w:rPr>
      </w:pPr>
      <w:r w:rsidRPr="002924DA">
        <w:rPr>
          <w:rFonts w:ascii="Times New Roman" w:hAnsi="Times New Roman" w:cs="Times New Roman"/>
          <w:i/>
          <w:iCs/>
          <w:sz w:val="24"/>
          <w:szCs w:val="24"/>
        </w:rPr>
        <w:t xml:space="preserve">Procurement </w:t>
      </w:r>
      <w:r w:rsidRPr="002924DA">
        <w:rPr>
          <w:rFonts w:ascii="Times New Roman" w:hAnsi="Times New Roman" w:cs="Times New Roman"/>
          <w:i/>
          <w:iCs/>
          <w:sz w:val="24"/>
          <w:szCs w:val="24"/>
        </w:rPr>
        <w:tab/>
      </w:r>
      <w:r w:rsidRPr="002924DA">
        <w:rPr>
          <w:rFonts w:ascii="Times New Roman" w:hAnsi="Times New Roman" w:cs="Times New Roman"/>
          <w:i/>
          <w:iCs/>
          <w:sz w:val="24"/>
          <w:szCs w:val="24"/>
        </w:rPr>
        <w:tab/>
      </w:r>
      <w:r w:rsidRPr="002924DA">
        <w:rPr>
          <w:rFonts w:ascii="Times New Roman" w:hAnsi="Times New Roman" w:cs="Times New Roman"/>
          <w:i/>
          <w:iCs/>
          <w:sz w:val="24"/>
          <w:szCs w:val="24"/>
        </w:rPr>
        <w:tab/>
      </w:r>
      <w:r w:rsidRPr="002924DA">
        <w:rPr>
          <w:rFonts w:ascii="Times New Roman" w:hAnsi="Times New Roman" w:cs="Times New Roman"/>
          <w:i/>
          <w:iCs/>
          <w:sz w:val="24"/>
          <w:szCs w:val="24"/>
        </w:rPr>
        <w:tab/>
      </w:r>
      <w:r w:rsidRPr="002924DA">
        <w:rPr>
          <w:rFonts w:ascii="Times New Roman" w:hAnsi="Times New Roman" w:cs="Times New Roman"/>
          <w:i/>
          <w:iCs/>
          <w:sz w:val="24"/>
          <w:szCs w:val="24"/>
        </w:rPr>
        <w:tab/>
      </w:r>
      <w:r w:rsidRPr="002924DA">
        <w:rPr>
          <w:rFonts w:ascii="Times New Roman" w:hAnsi="Times New Roman" w:cs="Times New Roman"/>
          <w:i/>
          <w:iCs/>
          <w:sz w:val="24"/>
          <w:szCs w:val="24"/>
        </w:rPr>
        <w:tab/>
        <w:t>Annually</w:t>
      </w:r>
    </w:p>
    <w:p w14:paraId="38F2C63B" w14:textId="42A3D771" w:rsidR="00871414" w:rsidRPr="002924DA" w:rsidRDefault="005A6401" w:rsidP="009F0DBF">
      <w:pPr>
        <w:jc w:val="both"/>
        <w:rPr>
          <w:rFonts w:ascii="Times New Roman" w:hAnsi="Times New Roman" w:cs="Times New Roman"/>
          <w:sz w:val="24"/>
          <w:szCs w:val="24"/>
        </w:rPr>
      </w:pPr>
      <w:r w:rsidRPr="002924DA">
        <w:rPr>
          <w:rFonts w:ascii="Times New Roman" w:hAnsi="Times New Roman" w:cs="Times New Roman"/>
          <w:i/>
          <w:iCs/>
          <w:sz w:val="24"/>
          <w:szCs w:val="24"/>
        </w:rPr>
        <w:t xml:space="preserve">Property Management </w:t>
      </w:r>
      <w:r w:rsidRPr="002924DA">
        <w:rPr>
          <w:rFonts w:ascii="Times New Roman" w:hAnsi="Times New Roman" w:cs="Times New Roman"/>
          <w:i/>
          <w:iCs/>
          <w:sz w:val="24"/>
          <w:szCs w:val="24"/>
        </w:rPr>
        <w:tab/>
      </w:r>
      <w:r w:rsidRPr="002924DA">
        <w:rPr>
          <w:rFonts w:ascii="Times New Roman" w:hAnsi="Times New Roman" w:cs="Times New Roman"/>
          <w:i/>
          <w:iCs/>
          <w:sz w:val="24"/>
          <w:szCs w:val="24"/>
        </w:rPr>
        <w:tab/>
      </w:r>
      <w:r w:rsidRPr="002924DA">
        <w:rPr>
          <w:rFonts w:ascii="Times New Roman" w:hAnsi="Times New Roman" w:cs="Times New Roman"/>
          <w:i/>
          <w:iCs/>
          <w:sz w:val="24"/>
          <w:szCs w:val="24"/>
        </w:rPr>
        <w:tab/>
      </w:r>
      <w:r w:rsidRPr="002924DA">
        <w:rPr>
          <w:rFonts w:ascii="Times New Roman" w:hAnsi="Times New Roman" w:cs="Times New Roman"/>
          <w:i/>
          <w:iCs/>
          <w:sz w:val="24"/>
          <w:szCs w:val="24"/>
        </w:rPr>
        <w:tab/>
        <w:t>Biennially</w:t>
      </w:r>
    </w:p>
    <w:p w14:paraId="3E55E01D" w14:textId="603FF28C" w:rsidR="005D2F29" w:rsidRPr="002924DA" w:rsidRDefault="005A6401" w:rsidP="009F0DBF">
      <w:pPr>
        <w:jc w:val="both"/>
        <w:rPr>
          <w:rFonts w:ascii="Times New Roman" w:hAnsi="Times New Roman" w:cs="Times New Roman"/>
          <w:sz w:val="24"/>
          <w:szCs w:val="24"/>
        </w:rPr>
      </w:pPr>
      <w:r w:rsidRPr="002924DA">
        <w:rPr>
          <w:rFonts w:ascii="Times New Roman" w:hAnsi="Times New Roman" w:cs="Times New Roman"/>
          <w:sz w:val="24"/>
          <w:szCs w:val="24"/>
        </w:rPr>
        <w:t xml:space="preserve">It is important to note that </w:t>
      </w:r>
      <w:r w:rsidR="00871414" w:rsidRPr="002924DA">
        <w:rPr>
          <w:rFonts w:ascii="Times New Roman" w:hAnsi="Times New Roman" w:cs="Times New Roman"/>
          <w:sz w:val="24"/>
          <w:szCs w:val="24"/>
        </w:rPr>
        <w:t>in the event the</w:t>
      </w:r>
      <w:r w:rsidRPr="002924DA">
        <w:rPr>
          <w:rFonts w:ascii="Times New Roman" w:hAnsi="Times New Roman" w:cs="Times New Roman"/>
          <w:sz w:val="24"/>
          <w:szCs w:val="24"/>
        </w:rPr>
        <w:t xml:space="preserve"> Program and Fiscal monitoring is conducted</w:t>
      </w:r>
      <w:r w:rsidR="00871414" w:rsidRPr="002924DA">
        <w:rPr>
          <w:rFonts w:ascii="Times New Roman" w:hAnsi="Times New Roman" w:cs="Times New Roman"/>
          <w:sz w:val="24"/>
          <w:szCs w:val="24"/>
        </w:rPr>
        <w:t xml:space="preserve"> separately</w:t>
      </w:r>
      <w:r w:rsidRPr="002924DA">
        <w:rPr>
          <w:rFonts w:ascii="Times New Roman" w:hAnsi="Times New Roman" w:cs="Times New Roman"/>
          <w:sz w:val="24"/>
          <w:szCs w:val="24"/>
        </w:rPr>
        <w:t xml:space="preserve">, there is ongoing communication between the Program and Fiscal </w:t>
      </w:r>
      <w:r w:rsidR="00280997">
        <w:rPr>
          <w:rFonts w:ascii="Times New Roman" w:hAnsi="Times New Roman" w:cs="Times New Roman"/>
          <w:sz w:val="24"/>
          <w:szCs w:val="24"/>
        </w:rPr>
        <w:t>M</w:t>
      </w:r>
      <w:r w:rsidRPr="002924DA">
        <w:rPr>
          <w:rFonts w:ascii="Times New Roman" w:hAnsi="Times New Roman" w:cs="Times New Roman"/>
          <w:sz w:val="24"/>
          <w:szCs w:val="24"/>
        </w:rPr>
        <w:t xml:space="preserve">onitors regarding the WDB status and results of monitoring reviews. </w:t>
      </w:r>
    </w:p>
    <w:p w14:paraId="58C797FD" w14:textId="09DAE1D3" w:rsidR="00095C48" w:rsidRPr="002924DA" w:rsidRDefault="0007490A" w:rsidP="009F0DBF">
      <w:pPr>
        <w:jc w:val="both"/>
        <w:rPr>
          <w:rFonts w:ascii="Times New Roman" w:hAnsi="Times New Roman" w:cs="Times New Roman"/>
          <w:bCs/>
          <w:sz w:val="24"/>
          <w:szCs w:val="24"/>
        </w:rPr>
      </w:pPr>
      <w:r w:rsidRPr="002924DA">
        <w:rPr>
          <w:rFonts w:ascii="Times New Roman" w:hAnsi="Times New Roman" w:cs="Times New Roman"/>
          <w:bCs/>
          <w:sz w:val="24"/>
          <w:szCs w:val="24"/>
        </w:rPr>
        <w:t>The following outline</w:t>
      </w:r>
      <w:r w:rsidR="008B32C7">
        <w:rPr>
          <w:rFonts w:ascii="Times New Roman" w:hAnsi="Times New Roman" w:cs="Times New Roman"/>
          <w:bCs/>
          <w:sz w:val="24"/>
          <w:szCs w:val="24"/>
        </w:rPr>
        <w:t>s</w:t>
      </w:r>
      <w:r w:rsidRPr="002924DA">
        <w:rPr>
          <w:rFonts w:ascii="Times New Roman" w:hAnsi="Times New Roman" w:cs="Times New Roman"/>
          <w:bCs/>
          <w:sz w:val="24"/>
          <w:szCs w:val="24"/>
        </w:rPr>
        <w:t xml:space="preserve"> the time schedule for various phases in the monitoring process:</w:t>
      </w:r>
    </w:p>
    <w:tbl>
      <w:tblPr>
        <w:tblStyle w:val="TableGrid"/>
        <w:tblW w:w="0" w:type="auto"/>
        <w:tblLook w:val="04A0" w:firstRow="1" w:lastRow="0" w:firstColumn="1" w:lastColumn="0" w:noHBand="0" w:noVBand="1"/>
      </w:tblPr>
      <w:tblGrid>
        <w:gridCol w:w="3415"/>
        <w:gridCol w:w="5935"/>
      </w:tblGrid>
      <w:tr w:rsidR="0007490A" w:rsidRPr="002924DA" w14:paraId="0F52590D" w14:textId="77777777" w:rsidTr="00C20906">
        <w:tc>
          <w:tcPr>
            <w:tcW w:w="3415" w:type="dxa"/>
          </w:tcPr>
          <w:p w14:paraId="535E7AB1" w14:textId="77777777" w:rsidR="0007490A" w:rsidRPr="002924DA" w:rsidRDefault="0007490A" w:rsidP="009F0DBF">
            <w:pPr>
              <w:spacing w:after="11" w:line="247" w:lineRule="auto"/>
              <w:ind w:right="63"/>
              <w:jc w:val="both"/>
              <w:rPr>
                <w:rFonts w:ascii="Times New Roman" w:hAnsi="Times New Roman" w:cs="Times New Roman"/>
                <w:b/>
                <w:u w:val="single"/>
              </w:rPr>
            </w:pPr>
            <w:r w:rsidRPr="002924DA">
              <w:rPr>
                <w:rFonts w:ascii="Times New Roman" w:eastAsia="Arial" w:hAnsi="Times New Roman" w:cs="Times New Roman"/>
                <w:b/>
                <w:color w:val="000000"/>
                <w:u w:val="single"/>
              </w:rPr>
              <w:t>Notification:</w:t>
            </w:r>
          </w:p>
        </w:tc>
        <w:tc>
          <w:tcPr>
            <w:tcW w:w="5935" w:type="dxa"/>
          </w:tcPr>
          <w:p w14:paraId="6A95C924" w14:textId="793F7BF5" w:rsidR="0007490A" w:rsidRPr="002924DA" w:rsidRDefault="0007490A" w:rsidP="009F0DBF">
            <w:pPr>
              <w:spacing w:after="11" w:line="247" w:lineRule="auto"/>
              <w:ind w:right="63"/>
              <w:jc w:val="both"/>
              <w:rPr>
                <w:rFonts w:ascii="Times New Roman" w:hAnsi="Times New Roman" w:cs="Times New Roman"/>
                <w:b/>
                <w:bCs/>
                <w:u w:val="single"/>
              </w:rPr>
            </w:pPr>
            <w:r w:rsidRPr="002924DA">
              <w:rPr>
                <w:rFonts w:ascii="Times New Roman" w:eastAsia="Arial" w:hAnsi="Times New Roman" w:cs="Times New Roman"/>
                <w:color w:val="000000"/>
              </w:rPr>
              <w:t>Notification of</w:t>
            </w:r>
            <w:r w:rsidR="001F3835">
              <w:rPr>
                <w:rFonts w:ascii="Times New Roman" w:eastAsia="Arial" w:hAnsi="Times New Roman" w:cs="Times New Roman"/>
                <w:color w:val="000000"/>
              </w:rPr>
              <w:t xml:space="preserve"> the</w:t>
            </w:r>
            <w:r w:rsidRPr="002924DA">
              <w:rPr>
                <w:rFonts w:ascii="Times New Roman" w:eastAsia="Arial" w:hAnsi="Times New Roman" w:cs="Times New Roman"/>
                <w:color w:val="000000"/>
              </w:rPr>
              <w:t xml:space="preserve"> impending monitor onsite review activities and material request will be sent (10 days prior whenever possible).    </w:t>
            </w:r>
          </w:p>
        </w:tc>
      </w:tr>
      <w:tr w:rsidR="0007490A" w:rsidRPr="002924DA" w14:paraId="08998060" w14:textId="77777777" w:rsidTr="00C20906">
        <w:tc>
          <w:tcPr>
            <w:tcW w:w="3415" w:type="dxa"/>
          </w:tcPr>
          <w:p w14:paraId="652EFB92" w14:textId="77777777" w:rsidR="0007490A" w:rsidRPr="002924DA" w:rsidRDefault="0007490A" w:rsidP="009F0DBF">
            <w:pPr>
              <w:spacing w:after="11" w:line="247" w:lineRule="auto"/>
              <w:ind w:right="63"/>
              <w:jc w:val="both"/>
              <w:rPr>
                <w:rFonts w:ascii="Times New Roman" w:hAnsi="Times New Roman" w:cs="Times New Roman"/>
                <w:b/>
                <w:u w:val="single"/>
              </w:rPr>
            </w:pPr>
            <w:r w:rsidRPr="002924DA">
              <w:rPr>
                <w:rFonts w:ascii="Times New Roman" w:eastAsia="Arial" w:hAnsi="Times New Roman" w:cs="Times New Roman"/>
                <w:b/>
                <w:color w:val="000000"/>
                <w:u w:val="single"/>
              </w:rPr>
              <w:t>Monitor Report:</w:t>
            </w:r>
          </w:p>
        </w:tc>
        <w:tc>
          <w:tcPr>
            <w:tcW w:w="5935" w:type="dxa"/>
          </w:tcPr>
          <w:p w14:paraId="5676048D" w14:textId="073F70BD" w:rsidR="0007490A" w:rsidRPr="002924DA" w:rsidRDefault="0007490A">
            <w:pPr>
              <w:tabs>
                <w:tab w:val="center" w:pos="5352"/>
              </w:tabs>
              <w:spacing w:after="11" w:line="247" w:lineRule="auto"/>
              <w:ind w:left="-15"/>
              <w:jc w:val="both"/>
              <w:rPr>
                <w:rFonts w:ascii="Times New Roman" w:eastAsia="Arial" w:hAnsi="Times New Roman" w:cs="Times New Roman"/>
                <w:color w:val="000000"/>
              </w:rPr>
            </w:pPr>
            <w:r w:rsidRPr="002924DA">
              <w:rPr>
                <w:rFonts w:ascii="Times New Roman" w:eastAsia="Arial" w:hAnsi="Times New Roman" w:cs="Times New Roman"/>
                <w:color w:val="000000"/>
              </w:rPr>
              <w:t>An Oversight Summary Report</w:t>
            </w:r>
            <w:r w:rsidR="008B32C7">
              <w:rPr>
                <w:rFonts w:ascii="Times New Roman" w:eastAsia="Arial" w:hAnsi="Times New Roman" w:cs="Times New Roman"/>
                <w:color w:val="000000"/>
              </w:rPr>
              <w:t>/M</w:t>
            </w:r>
            <w:r w:rsidRPr="002924DA">
              <w:rPr>
                <w:rFonts w:ascii="Times New Roman" w:eastAsia="Arial" w:hAnsi="Times New Roman" w:cs="Times New Roman"/>
                <w:color w:val="000000"/>
              </w:rPr>
              <w:t xml:space="preserve">onitor </w:t>
            </w:r>
            <w:r w:rsidR="008B32C7">
              <w:rPr>
                <w:rFonts w:ascii="Times New Roman" w:eastAsia="Arial" w:hAnsi="Times New Roman" w:cs="Times New Roman"/>
                <w:color w:val="000000"/>
              </w:rPr>
              <w:t>R</w:t>
            </w:r>
            <w:r w:rsidRPr="002924DA">
              <w:rPr>
                <w:rFonts w:ascii="Times New Roman" w:eastAsia="Arial" w:hAnsi="Times New Roman" w:cs="Times New Roman"/>
                <w:color w:val="000000"/>
              </w:rPr>
              <w:t xml:space="preserve">eport will be issued within 45 days of the completion of the </w:t>
            </w:r>
            <w:r w:rsidR="008B32C7">
              <w:rPr>
                <w:rFonts w:ascii="Times New Roman" w:eastAsia="Arial" w:hAnsi="Times New Roman" w:cs="Times New Roman"/>
                <w:color w:val="000000"/>
              </w:rPr>
              <w:t>Exit Conference</w:t>
            </w:r>
            <w:r w:rsidRPr="002924DA">
              <w:rPr>
                <w:rFonts w:ascii="Times New Roman" w:eastAsia="Arial" w:hAnsi="Times New Roman" w:cs="Times New Roman"/>
                <w:color w:val="000000"/>
              </w:rPr>
              <w:t>.</w:t>
            </w:r>
          </w:p>
        </w:tc>
      </w:tr>
      <w:tr w:rsidR="0007490A" w:rsidRPr="002924DA" w14:paraId="4669C100" w14:textId="77777777" w:rsidTr="00C20906">
        <w:tc>
          <w:tcPr>
            <w:tcW w:w="3415" w:type="dxa"/>
          </w:tcPr>
          <w:p w14:paraId="0BC51D2F" w14:textId="274DA386" w:rsidR="0007490A" w:rsidRPr="002924DA" w:rsidRDefault="0007490A">
            <w:pPr>
              <w:spacing w:after="11" w:line="247" w:lineRule="auto"/>
              <w:ind w:right="63"/>
              <w:jc w:val="both"/>
              <w:rPr>
                <w:rFonts w:ascii="Times New Roman" w:hAnsi="Times New Roman" w:cs="Times New Roman"/>
                <w:b/>
                <w:u w:val="single"/>
              </w:rPr>
            </w:pPr>
            <w:r w:rsidRPr="002924DA">
              <w:rPr>
                <w:rFonts w:ascii="Times New Roman" w:eastAsia="Arial" w:hAnsi="Times New Roman" w:cs="Times New Roman"/>
                <w:b/>
                <w:color w:val="000000"/>
                <w:u w:val="single"/>
              </w:rPr>
              <w:t>Local Area Response / C</w:t>
            </w:r>
            <w:r w:rsidR="008B32C7">
              <w:rPr>
                <w:rFonts w:ascii="Times New Roman" w:eastAsia="Arial" w:hAnsi="Times New Roman" w:cs="Times New Roman"/>
                <w:b/>
                <w:color w:val="000000"/>
                <w:u w:val="single"/>
              </w:rPr>
              <w:t>AP</w:t>
            </w:r>
            <w:r w:rsidRPr="002924DA">
              <w:rPr>
                <w:rFonts w:ascii="Times New Roman" w:eastAsia="Arial" w:hAnsi="Times New Roman" w:cs="Times New Roman"/>
                <w:b/>
                <w:color w:val="000000"/>
                <w:u w:val="single"/>
              </w:rPr>
              <w:t>:</w:t>
            </w:r>
          </w:p>
        </w:tc>
        <w:tc>
          <w:tcPr>
            <w:tcW w:w="5935" w:type="dxa"/>
          </w:tcPr>
          <w:p w14:paraId="23FD45C1" w14:textId="6887242B" w:rsidR="0007490A" w:rsidRPr="002924DA" w:rsidRDefault="0007490A" w:rsidP="009F0DBF">
            <w:pPr>
              <w:spacing w:after="11" w:line="247" w:lineRule="auto"/>
              <w:ind w:right="63"/>
              <w:jc w:val="both"/>
              <w:rPr>
                <w:rFonts w:ascii="Times New Roman" w:hAnsi="Times New Roman" w:cs="Times New Roman"/>
                <w:b/>
                <w:bCs/>
                <w:u w:val="single"/>
              </w:rPr>
            </w:pPr>
            <w:r w:rsidRPr="002924DA">
              <w:rPr>
                <w:rFonts w:ascii="Times New Roman" w:eastAsia="Arial" w:hAnsi="Times New Roman" w:cs="Times New Roman"/>
                <w:color w:val="000000"/>
              </w:rPr>
              <w:t xml:space="preserve">Submission of a corrective action plan will be required within 30 days of </w:t>
            </w:r>
            <w:r w:rsidR="008B32C7">
              <w:rPr>
                <w:rFonts w:ascii="Times New Roman" w:eastAsia="Arial" w:hAnsi="Times New Roman" w:cs="Times New Roman"/>
                <w:color w:val="000000"/>
              </w:rPr>
              <w:t xml:space="preserve">receiving </w:t>
            </w:r>
            <w:r w:rsidRPr="002924DA">
              <w:rPr>
                <w:rFonts w:ascii="Times New Roman" w:eastAsia="Arial" w:hAnsi="Times New Roman" w:cs="Times New Roman"/>
                <w:color w:val="000000"/>
              </w:rPr>
              <w:t>a</w:t>
            </w:r>
            <w:r w:rsidRPr="002924DA">
              <w:rPr>
                <w:rFonts w:ascii="Times New Roman" w:eastAsia="Arial" w:hAnsi="Times New Roman" w:cs="Times New Roman"/>
                <w:b/>
                <w:color w:val="000000"/>
              </w:rPr>
              <w:t xml:space="preserve"> </w:t>
            </w:r>
            <w:r w:rsidRPr="002924DA">
              <w:rPr>
                <w:rFonts w:ascii="Times New Roman" w:eastAsia="Arial" w:hAnsi="Times New Roman" w:cs="Times New Roman"/>
                <w:color w:val="000000"/>
              </w:rPr>
              <w:t xml:space="preserve">monitoring report.  This plan must be submitted in writing from the Subrecipient or named entity to </w:t>
            </w:r>
            <w:r w:rsidR="00136B37">
              <w:rPr>
                <w:rFonts w:ascii="Times New Roman" w:eastAsia="Arial" w:hAnsi="Times New Roman" w:cs="Times New Roman"/>
                <w:color w:val="000000"/>
              </w:rPr>
              <w:t xml:space="preserve">the </w:t>
            </w:r>
            <w:r w:rsidRPr="002924DA">
              <w:rPr>
                <w:rFonts w:ascii="Times New Roman" w:eastAsia="Arial" w:hAnsi="Times New Roman" w:cs="Times New Roman"/>
                <w:color w:val="000000"/>
              </w:rPr>
              <w:t>DWS.</w:t>
            </w:r>
          </w:p>
        </w:tc>
      </w:tr>
      <w:tr w:rsidR="0007490A" w:rsidRPr="002924DA" w14:paraId="3AF142F5" w14:textId="77777777" w:rsidTr="00C20906">
        <w:tc>
          <w:tcPr>
            <w:tcW w:w="3415" w:type="dxa"/>
          </w:tcPr>
          <w:p w14:paraId="621DE634" w14:textId="77777777" w:rsidR="0007490A" w:rsidRPr="002924DA" w:rsidRDefault="0007490A" w:rsidP="009F0DBF">
            <w:pPr>
              <w:spacing w:after="11" w:line="247" w:lineRule="auto"/>
              <w:ind w:right="63"/>
              <w:jc w:val="both"/>
              <w:rPr>
                <w:rFonts w:ascii="Times New Roman" w:hAnsi="Times New Roman" w:cs="Times New Roman"/>
                <w:b/>
                <w:u w:val="single"/>
              </w:rPr>
            </w:pPr>
            <w:r w:rsidRPr="002924DA">
              <w:rPr>
                <w:rFonts w:ascii="Times New Roman" w:eastAsia="Arial" w:hAnsi="Times New Roman" w:cs="Times New Roman"/>
                <w:b/>
                <w:color w:val="000000"/>
                <w:u w:val="single"/>
              </w:rPr>
              <w:t>Initial Determination Letter:</w:t>
            </w:r>
          </w:p>
        </w:tc>
        <w:tc>
          <w:tcPr>
            <w:tcW w:w="5935" w:type="dxa"/>
          </w:tcPr>
          <w:p w14:paraId="3015447D" w14:textId="04EBC146" w:rsidR="0007490A" w:rsidRPr="002924DA" w:rsidRDefault="00136B37" w:rsidP="009F0DBF">
            <w:pPr>
              <w:spacing w:after="11" w:line="247" w:lineRule="auto"/>
              <w:ind w:right="63"/>
              <w:jc w:val="both"/>
              <w:rPr>
                <w:rFonts w:ascii="Times New Roman" w:hAnsi="Times New Roman" w:cs="Times New Roman"/>
                <w:bCs/>
              </w:rPr>
            </w:pPr>
            <w:r>
              <w:rPr>
                <w:rFonts w:ascii="Times New Roman" w:hAnsi="Times New Roman" w:cs="Times New Roman"/>
                <w:bCs/>
              </w:rPr>
              <w:t xml:space="preserve">The </w:t>
            </w:r>
            <w:r w:rsidR="0007490A" w:rsidRPr="002924DA">
              <w:rPr>
                <w:rFonts w:ascii="Times New Roman" w:hAnsi="Times New Roman" w:cs="Times New Roman"/>
                <w:bCs/>
              </w:rPr>
              <w:t xml:space="preserve">DWS will issue an initial determination for findings with </w:t>
            </w:r>
            <w:r w:rsidR="00044DDB">
              <w:rPr>
                <w:rFonts w:ascii="Times New Roman" w:hAnsi="Times New Roman" w:cs="Times New Roman"/>
                <w:bCs/>
              </w:rPr>
              <w:t>q</w:t>
            </w:r>
            <w:r w:rsidR="0007490A" w:rsidRPr="002924DA">
              <w:rPr>
                <w:rFonts w:ascii="Times New Roman" w:hAnsi="Times New Roman" w:cs="Times New Roman"/>
                <w:bCs/>
              </w:rPr>
              <w:t xml:space="preserve">uestioned </w:t>
            </w:r>
            <w:r w:rsidR="00044DDB">
              <w:rPr>
                <w:rFonts w:ascii="Times New Roman" w:hAnsi="Times New Roman" w:cs="Times New Roman"/>
                <w:bCs/>
              </w:rPr>
              <w:t>c</w:t>
            </w:r>
            <w:r w:rsidR="0007490A" w:rsidRPr="002924DA">
              <w:rPr>
                <w:rFonts w:ascii="Times New Roman" w:hAnsi="Times New Roman" w:cs="Times New Roman"/>
                <w:bCs/>
              </w:rPr>
              <w:t>osts. The WDB has 30 days to respond and provide supporting documentation.</w:t>
            </w:r>
          </w:p>
        </w:tc>
      </w:tr>
      <w:tr w:rsidR="0007490A" w:rsidRPr="002924DA" w14:paraId="245822AC" w14:textId="77777777" w:rsidTr="00C20906">
        <w:tc>
          <w:tcPr>
            <w:tcW w:w="3415" w:type="dxa"/>
          </w:tcPr>
          <w:p w14:paraId="6F0330F3" w14:textId="24913EC6" w:rsidR="0007490A" w:rsidRPr="002924DA" w:rsidRDefault="0007490A" w:rsidP="009F0DBF">
            <w:pPr>
              <w:spacing w:after="11" w:line="247" w:lineRule="auto"/>
              <w:ind w:right="63"/>
              <w:jc w:val="both"/>
              <w:rPr>
                <w:rFonts w:ascii="Times New Roman" w:hAnsi="Times New Roman" w:cs="Times New Roman"/>
                <w:b/>
                <w:u w:val="single"/>
              </w:rPr>
            </w:pPr>
            <w:r w:rsidRPr="002924DA">
              <w:rPr>
                <w:rFonts w:ascii="Times New Roman" w:eastAsia="Arial" w:hAnsi="Times New Roman" w:cs="Times New Roman"/>
                <w:b/>
                <w:color w:val="000000"/>
                <w:u w:val="single"/>
              </w:rPr>
              <w:t>Final Determination</w:t>
            </w:r>
            <w:r w:rsidR="007E2C9E">
              <w:rPr>
                <w:rFonts w:ascii="Times New Roman" w:eastAsia="Arial" w:hAnsi="Times New Roman" w:cs="Times New Roman"/>
                <w:b/>
                <w:color w:val="000000"/>
                <w:u w:val="single"/>
              </w:rPr>
              <w:t xml:space="preserve"> Letter</w:t>
            </w:r>
            <w:r w:rsidRPr="002924DA">
              <w:rPr>
                <w:rFonts w:ascii="Times New Roman" w:eastAsia="Arial" w:hAnsi="Times New Roman" w:cs="Times New Roman"/>
                <w:b/>
                <w:color w:val="000000"/>
              </w:rPr>
              <w:t>:</w:t>
            </w:r>
          </w:p>
        </w:tc>
        <w:tc>
          <w:tcPr>
            <w:tcW w:w="5935" w:type="dxa"/>
          </w:tcPr>
          <w:p w14:paraId="6879D11D" w14:textId="4A59A988" w:rsidR="0007490A" w:rsidRPr="002924DA" w:rsidRDefault="00136B37" w:rsidP="009F0DBF">
            <w:pPr>
              <w:spacing w:after="11" w:line="247" w:lineRule="auto"/>
              <w:ind w:right="63"/>
              <w:jc w:val="both"/>
              <w:rPr>
                <w:rFonts w:ascii="Times New Roman" w:hAnsi="Times New Roman" w:cs="Times New Roman"/>
                <w:bCs/>
                <w:u w:val="single"/>
              </w:rPr>
            </w:pPr>
            <w:r>
              <w:rPr>
                <w:rFonts w:ascii="Times New Roman" w:eastAsia="Arial" w:hAnsi="Times New Roman" w:cs="Times New Roman"/>
                <w:color w:val="000000"/>
              </w:rPr>
              <w:t>The</w:t>
            </w:r>
            <w:r w:rsidRPr="002924DA">
              <w:rPr>
                <w:rFonts w:ascii="Times New Roman" w:eastAsia="Arial" w:hAnsi="Times New Roman" w:cs="Times New Roman"/>
                <w:color w:val="000000"/>
              </w:rPr>
              <w:t xml:space="preserve"> </w:t>
            </w:r>
            <w:r w:rsidR="0007490A" w:rsidRPr="002924DA">
              <w:rPr>
                <w:rFonts w:ascii="Times New Roman" w:eastAsia="Arial" w:hAnsi="Times New Roman" w:cs="Times New Roman"/>
                <w:color w:val="000000"/>
              </w:rPr>
              <w:t>DWS will issue a final determination</w:t>
            </w:r>
            <w:r w:rsidR="002924DA" w:rsidRPr="002924DA">
              <w:rPr>
                <w:rFonts w:ascii="Times New Roman" w:eastAsia="Arial" w:hAnsi="Times New Roman" w:cs="Times New Roman"/>
                <w:color w:val="000000"/>
              </w:rPr>
              <w:t xml:space="preserve"> within 30 days</w:t>
            </w:r>
            <w:r w:rsidR="0007490A" w:rsidRPr="002924DA">
              <w:rPr>
                <w:rFonts w:ascii="Times New Roman" w:eastAsia="Arial" w:hAnsi="Times New Roman" w:cs="Times New Roman"/>
                <w:color w:val="000000"/>
              </w:rPr>
              <w:t xml:space="preserve"> </w:t>
            </w:r>
            <w:r w:rsidR="002924DA" w:rsidRPr="002924DA">
              <w:rPr>
                <w:rFonts w:ascii="Times New Roman" w:eastAsia="Arial" w:hAnsi="Times New Roman" w:cs="Times New Roman"/>
                <w:color w:val="000000"/>
              </w:rPr>
              <w:t>after reviewing the local area responses and supporting documentation.</w:t>
            </w:r>
          </w:p>
        </w:tc>
      </w:tr>
      <w:tr w:rsidR="002924DA" w:rsidRPr="002924DA" w14:paraId="1E91ED08" w14:textId="77777777" w:rsidTr="003B4220">
        <w:trPr>
          <w:trHeight w:val="404"/>
        </w:trPr>
        <w:tc>
          <w:tcPr>
            <w:tcW w:w="3415" w:type="dxa"/>
          </w:tcPr>
          <w:p w14:paraId="1329E384" w14:textId="77777777" w:rsidR="002924DA" w:rsidRPr="002924DA" w:rsidRDefault="002924DA" w:rsidP="009F0DBF">
            <w:pPr>
              <w:spacing w:after="11" w:line="247" w:lineRule="auto"/>
              <w:ind w:right="63"/>
              <w:jc w:val="both"/>
              <w:rPr>
                <w:rFonts w:ascii="Times New Roman" w:hAnsi="Times New Roman" w:cs="Times New Roman"/>
                <w:b/>
                <w:u w:val="single"/>
              </w:rPr>
            </w:pPr>
            <w:r w:rsidRPr="002924DA">
              <w:rPr>
                <w:rFonts w:ascii="Times New Roman" w:eastAsia="Arial" w:hAnsi="Times New Roman" w:cs="Times New Roman"/>
                <w:b/>
                <w:color w:val="000000"/>
                <w:u w:val="single"/>
              </w:rPr>
              <w:t>Appeals:</w:t>
            </w:r>
          </w:p>
        </w:tc>
        <w:tc>
          <w:tcPr>
            <w:tcW w:w="5935" w:type="dxa"/>
          </w:tcPr>
          <w:p w14:paraId="4909F893" w14:textId="53B7CF67" w:rsidR="002924DA" w:rsidRPr="002924DA" w:rsidRDefault="002022C0" w:rsidP="009F0DBF">
            <w:pPr>
              <w:spacing w:after="11" w:line="247" w:lineRule="auto"/>
              <w:ind w:right="63"/>
              <w:jc w:val="both"/>
              <w:rPr>
                <w:rFonts w:ascii="Times New Roman" w:hAnsi="Times New Roman" w:cs="Times New Roman"/>
                <w:bCs/>
                <w:u w:val="single"/>
              </w:rPr>
            </w:pPr>
            <w:r>
              <w:rPr>
                <w:rFonts w:ascii="Times New Roman" w:eastAsia="Arial" w:hAnsi="Times New Roman" w:cs="Times New Roman"/>
                <w:color w:val="000000"/>
              </w:rPr>
              <w:t xml:space="preserve">The </w:t>
            </w:r>
            <w:r w:rsidR="002924DA" w:rsidRPr="002924DA">
              <w:rPr>
                <w:rFonts w:ascii="Times New Roman" w:eastAsia="Arial" w:hAnsi="Times New Roman" w:cs="Times New Roman"/>
                <w:color w:val="000000"/>
              </w:rPr>
              <w:t>Subrecipient has 30 days to file an appeal of a final decision.</w:t>
            </w:r>
          </w:p>
        </w:tc>
      </w:tr>
    </w:tbl>
    <w:p w14:paraId="0FBCA6FA" w14:textId="77777777" w:rsidR="0007490A" w:rsidRPr="002924DA" w:rsidRDefault="0007490A" w:rsidP="009F0DBF">
      <w:pPr>
        <w:jc w:val="both"/>
        <w:rPr>
          <w:rFonts w:ascii="Times New Roman" w:hAnsi="Times New Roman" w:cs="Times New Roman"/>
          <w:b/>
          <w:sz w:val="24"/>
          <w:szCs w:val="24"/>
        </w:rPr>
      </w:pPr>
    </w:p>
    <w:p w14:paraId="30177D58" w14:textId="77777777" w:rsidR="0024628E" w:rsidRPr="002924DA" w:rsidRDefault="0024628E" w:rsidP="009F0DBF">
      <w:pPr>
        <w:ind w:left="720" w:hanging="720"/>
        <w:jc w:val="both"/>
        <w:rPr>
          <w:rFonts w:ascii="Times New Roman" w:hAnsi="Times New Roman" w:cs="Times New Roman"/>
          <w:b/>
          <w:sz w:val="24"/>
          <w:szCs w:val="24"/>
          <w:u w:val="single"/>
        </w:rPr>
      </w:pPr>
      <w:r w:rsidRPr="002924DA">
        <w:rPr>
          <w:rFonts w:ascii="Times New Roman" w:hAnsi="Times New Roman" w:cs="Times New Roman"/>
          <w:b/>
          <w:sz w:val="24"/>
          <w:szCs w:val="24"/>
          <w:u w:val="single"/>
        </w:rPr>
        <w:lastRenderedPageBreak/>
        <w:t>Technical Assistance Activities</w:t>
      </w:r>
    </w:p>
    <w:p w14:paraId="68E11C71" w14:textId="290E058E" w:rsidR="007E3AF7" w:rsidRPr="002924DA" w:rsidRDefault="00F44EAA" w:rsidP="009F0DBF">
      <w:pPr>
        <w:jc w:val="both"/>
        <w:rPr>
          <w:rFonts w:ascii="Times New Roman" w:eastAsia="Times New Roman" w:hAnsi="Times New Roman" w:cs="Times New Roman"/>
          <w:color w:val="000000"/>
          <w:sz w:val="24"/>
          <w:szCs w:val="24"/>
        </w:rPr>
      </w:pPr>
      <w:r w:rsidRPr="002924DA">
        <w:rPr>
          <w:rFonts w:ascii="Times New Roman" w:eastAsia="Times New Roman" w:hAnsi="Times New Roman" w:cs="Times New Roman"/>
          <w:color w:val="000000"/>
          <w:sz w:val="24"/>
          <w:szCs w:val="24"/>
        </w:rPr>
        <w:t>The DWS</w:t>
      </w:r>
      <w:r w:rsidR="0024628E" w:rsidRPr="002924DA">
        <w:rPr>
          <w:rFonts w:ascii="Times New Roman" w:eastAsia="Times New Roman" w:hAnsi="Times New Roman" w:cs="Times New Roman"/>
          <w:color w:val="000000"/>
          <w:sz w:val="24"/>
          <w:szCs w:val="24"/>
        </w:rPr>
        <w:t xml:space="preserve"> staff is committed to providing Technical Assistance (TA) to WIOA programs at the local level. The goals of TA include helping WDBs achieve positive performance outcomes, maintain data integrity, and help identify potential fiscal and programmatic system vulnerabilities. TA is ongoing and can be provided remotely or onsite. </w:t>
      </w:r>
      <w:r w:rsidR="0007579F">
        <w:rPr>
          <w:rFonts w:ascii="Times New Roman" w:eastAsia="Times New Roman" w:hAnsi="Times New Roman" w:cs="Times New Roman"/>
          <w:color w:val="000000"/>
          <w:sz w:val="24"/>
          <w:szCs w:val="24"/>
        </w:rPr>
        <w:t xml:space="preserve"> </w:t>
      </w:r>
      <w:r w:rsidR="0024628E" w:rsidRPr="002924DA">
        <w:rPr>
          <w:rFonts w:ascii="Times New Roman" w:eastAsia="Times New Roman" w:hAnsi="Times New Roman" w:cs="Times New Roman"/>
          <w:color w:val="000000"/>
          <w:sz w:val="24"/>
          <w:szCs w:val="24"/>
        </w:rPr>
        <w:t>More in-depth TA is available upon request and can include video conferences, training</w:t>
      </w:r>
      <w:r w:rsidRPr="002924DA">
        <w:rPr>
          <w:rFonts w:ascii="Times New Roman" w:eastAsia="Times New Roman" w:hAnsi="Times New Roman" w:cs="Times New Roman"/>
          <w:color w:val="000000"/>
          <w:sz w:val="24"/>
          <w:szCs w:val="24"/>
        </w:rPr>
        <w:t xml:space="preserve"> on a variety of platforms</w:t>
      </w:r>
      <w:r w:rsidR="0024628E" w:rsidRPr="002924DA">
        <w:rPr>
          <w:rFonts w:ascii="Times New Roman" w:eastAsia="Times New Roman" w:hAnsi="Times New Roman" w:cs="Times New Roman"/>
          <w:color w:val="000000"/>
          <w:sz w:val="24"/>
          <w:szCs w:val="24"/>
        </w:rPr>
        <w:t>, and onsite visits</w:t>
      </w:r>
      <w:r w:rsidRPr="002924DA">
        <w:rPr>
          <w:rFonts w:ascii="Times New Roman" w:eastAsia="Times New Roman" w:hAnsi="Times New Roman" w:cs="Times New Roman"/>
          <w:color w:val="000000"/>
          <w:sz w:val="24"/>
          <w:szCs w:val="24"/>
        </w:rPr>
        <w:t xml:space="preserve">. </w:t>
      </w:r>
    </w:p>
    <w:p w14:paraId="74D57C43" w14:textId="427AE24E" w:rsidR="00F44EAA" w:rsidRPr="002924DA" w:rsidRDefault="00F44EAA" w:rsidP="009F0DBF">
      <w:pPr>
        <w:jc w:val="both"/>
        <w:rPr>
          <w:rFonts w:ascii="Times New Roman" w:eastAsia="Times New Roman" w:hAnsi="Times New Roman" w:cs="Times New Roman"/>
          <w:color w:val="000000"/>
          <w:sz w:val="24"/>
          <w:szCs w:val="24"/>
        </w:rPr>
      </w:pPr>
      <w:r w:rsidRPr="002924DA">
        <w:rPr>
          <w:rFonts w:ascii="Times New Roman" w:eastAsia="Times New Roman" w:hAnsi="Times New Roman" w:cs="Times New Roman"/>
          <w:color w:val="000000"/>
          <w:sz w:val="24"/>
          <w:szCs w:val="24"/>
        </w:rPr>
        <w:t>The DWS will provide at least on</w:t>
      </w:r>
      <w:r w:rsidR="00686597" w:rsidRPr="002924DA">
        <w:rPr>
          <w:rFonts w:ascii="Times New Roman" w:eastAsia="Times New Roman" w:hAnsi="Times New Roman" w:cs="Times New Roman"/>
          <w:color w:val="000000"/>
          <w:sz w:val="24"/>
          <w:szCs w:val="24"/>
        </w:rPr>
        <w:t>e</w:t>
      </w:r>
      <w:r w:rsidRPr="002924DA">
        <w:rPr>
          <w:rFonts w:ascii="Times New Roman" w:eastAsia="Times New Roman" w:hAnsi="Times New Roman" w:cs="Times New Roman"/>
          <w:color w:val="000000"/>
          <w:sz w:val="24"/>
          <w:szCs w:val="24"/>
        </w:rPr>
        <w:t xml:space="preserve"> TA training yearly</w:t>
      </w:r>
      <w:r w:rsidR="00686597" w:rsidRPr="002924DA">
        <w:rPr>
          <w:rFonts w:ascii="Times New Roman" w:eastAsia="Times New Roman" w:hAnsi="Times New Roman" w:cs="Times New Roman"/>
          <w:color w:val="000000"/>
          <w:sz w:val="24"/>
          <w:szCs w:val="24"/>
        </w:rPr>
        <w:t xml:space="preserve"> </w:t>
      </w:r>
      <w:r w:rsidRPr="002924DA">
        <w:rPr>
          <w:rFonts w:ascii="Times New Roman" w:eastAsia="Times New Roman" w:hAnsi="Times New Roman" w:cs="Times New Roman"/>
          <w:color w:val="000000"/>
          <w:sz w:val="24"/>
          <w:szCs w:val="24"/>
        </w:rPr>
        <w:t>during the first quarter of the program year</w:t>
      </w:r>
      <w:r w:rsidR="000A222B" w:rsidRPr="002924DA">
        <w:rPr>
          <w:rFonts w:ascii="Times New Roman" w:eastAsia="Times New Roman" w:hAnsi="Times New Roman" w:cs="Times New Roman"/>
          <w:color w:val="000000"/>
          <w:sz w:val="24"/>
          <w:szCs w:val="24"/>
        </w:rPr>
        <w:t>.</w:t>
      </w:r>
      <w:r w:rsidRPr="002924DA">
        <w:rPr>
          <w:rFonts w:ascii="Times New Roman" w:eastAsia="Times New Roman" w:hAnsi="Times New Roman" w:cs="Times New Roman"/>
          <w:color w:val="000000"/>
          <w:sz w:val="24"/>
          <w:szCs w:val="24"/>
        </w:rPr>
        <w:t xml:space="preserve"> This training will discuss common findings</w:t>
      </w:r>
      <w:r w:rsidR="00686597" w:rsidRPr="002924DA">
        <w:rPr>
          <w:rFonts w:ascii="Times New Roman" w:eastAsia="Times New Roman" w:hAnsi="Times New Roman" w:cs="Times New Roman"/>
          <w:color w:val="000000"/>
          <w:sz w:val="24"/>
          <w:szCs w:val="24"/>
        </w:rPr>
        <w:t xml:space="preserve"> and observations</w:t>
      </w:r>
      <w:r w:rsidRPr="002924DA">
        <w:rPr>
          <w:rFonts w:ascii="Times New Roman" w:eastAsia="Times New Roman" w:hAnsi="Times New Roman" w:cs="Times New Roman"/>
          <w:color w:val="000000"/>
          <w:sz w:val="24"/>
          <w:szCs w:val="24"/>
        </w:rPr>
        <w:t xml:space="preserve"> from the previous program year. </w:t>
      </w:r>
    </w:p>
    <w:p w14:paraId="18A441EE" w14:textId="77777777" w:rsidR="005A6401" w:rsidRPr="002924DA" w:rsidRDefault="0024628E" w:rsidP="009F0DBF">
      <w:pPr>
        <w:ind w:left="720" w:hanging="720"/>
        <w:jc w:val="both"/>
        <w:rPr>
          <w:rFonts w:ascii="Times New Roman" w:hAnsi="Times New Roman" w:cs="Times New Roman"/>
          <w:b/>
          <w:bCs/>
          <w:sz w:val="24"/>
          <w:szCs w:val="24"/>
          <w:u w:val="single"/>
        </w:rPr>
      </w:pPr>
      <w:r w:rsidRPr="002924DA">
        <w:rPr>
          <w:rFonts w:ascii="Times New Roman" w:hAnsi="Times New Roman" w:cs="Times New Roman"/>
          <w:b/>
          <w:bCs/>
          <w:sz w:val="24"/>
          <w:szCs w:val="24"/>
          <w:u w:val="single"/>
        </w:rPr>
        <w:t xml:space="preserve">Dispute Resolution </w:t>
      </w:r>
    </w:p>
    <w:p w14:paraId="7B742230" w14:textId="0F0C9771" w:rsidR="007B3F6B" w:rsidRPr="002924DA" w:rsidRDefault="007B3F6B" w:rsidP="009F0DBF">
      <w:pPr>
        <w:jc w:val="both"/>
        <w:rPr>
          <w:rFonts w:ascii="Times New Roman" w:hAnsi="Times New Roman" w:cs="Times New Roman"/>
          <w:sz w:val="24"/>
          <w:szCs w:val="24"/>
        </w:rPr>
      </w:pPr>
      <w:r w:rsidRPr="002924DA">
        <w:rPr>
          <w:rFonts w:ascii="Times New Roman" w:hAnsi="Times New Roman" w:cs="Times New Roman"/>
          <w:sz w:val="24"/>
          <w:szCs w:val="24"/>
        </w:rPr>
        <w:t>A</w:t>
      </w:r>
      <w:r w:rsidR="00044DDB">
        <w:rPr>
          <w:rFonts w:ascii="Times New Roman" w:hAnsi="Times New Roman" w:cs="Times New Roman"/>
          <w:sz w:val="24"/>
          <w:szCs w:val="24"/>
        </w:rPr>
        <w:t xml:space="preserve"> monitoring or audit</w:t>
      </w:r>
      <w:r w:rsidRPr="002924DA">
        <w:rPr>
          <w:rFonts w:ascii="Times New Roman" w:hAnsi="Times New Roman" w:cs="Times New Roman"/>
          <w:sz w:val="24"/>
          <w:szCs w:val="24"/>
        </w:rPr>
        <w:t xml:space="preserve"> report containing expenditures recommended for disallowance, questioned expenditures, or significant administrative findings will initiate a resolution process. An initial determination letter will be sent to the WDB Director. The subrecipient will have 30 days to respond and provide additional documentation or explanation. The burden of proof in providing sufficient information or documentation to explain costs recommended for disallowance or questioned costs rests with the subrecipient. </w:t>
      </w:r>
    </w:p>
    <w:p w14:paraId="70701088" w14:textId="594B5338" w:rsidR="007B3F6B" w:rsidRPr="002924DA" w:rsidRDefault="007B3F6B" w:rsidP="009F0DBF">
      <w:pPr>
        <w:jc w:val="both"/>
        <w:rPr>
          <w:rFonts w:ascii="Times New Roman" w:hAnsi="Times New Roman" w:cs="Times New Roman"/>
          <w:sz w:val="24"/>
          <w:szCs w:val="24"/>
        </w:rPr>
      </w:pPr>
      <w:r w:rsidRPr="002924DA">
        <w:rPr>
          <w:rFonts w:ascii="Times New Roman" w:hAnsi="Times New Roman" w:cs="Times New Roman"/>
          <w:sz w:val="24"/>
          <w:szCs w:val="24"/>
        </w:rPr>
        <w:t>Upon receipt of the local area response, the DWS will review the response and all supporting documentation. If all or part of the initial determination is upheld, the DWS will issue a final determination</w:t>
      </w:r>
      <w:r w:rsidR="00B61B76">
        <w:rPr>
          <w:rFonts w:ascii="Times New Roman" w:hAnsi="Times New Roman" w:cs="Times New Roman"/>
          <w:sz w:val="24"/>
          <w:szCs w:val="24"/>
        </w:rPr>
        <w:t xml:space="preserve"> within </w:t>
      </w:r>
      <w:r w:rsidR="001056D9" w:rsidRPr="3930D632">
        <w:rPr>
          <w:rFonts w:ascii="Times New Roman" w:hAnsi="Times New Roman" w:cs="Times New Roman"/>
          <w:sz w:val="24"/>
          <w:szCs w:val="24"/>
        </w:rPr>
        <w:t>30</w:t>
      </w:r>
      <w:r w:rsidR="001056D9">
        <w:rPr>
          <w:rFonts w:ascii="Times New Roman" w:hAnsi="Times New Roman" w:cs="Times New Roman"/>
          <w:sz w:val="24"/>
          <w:szCs w:val="24"/>
        </w:rPr>
        <w:t xml:space="preserve"> days</w:t>
      </w:r>
      <w:r w:rsidRPr="002924DA">
        <w:rPr>
          <w:rFonts w:ascii="Times New Roman" w:hAnsi="Times New Roman" w:cs="Times New Roman"/>
          <w:sz w:val="24"/>
          <w:szCs w:val="24"/>
        </w:rPr>
        <w:t>. The resolution process will be completed when all questioned costs have been allowed, all administrative findings resolved or when a final debt is created.</w:t>
      </w:r>
    </w:p>
    <w:p w14:paraId="0D3C66F6" w14:textId="47F73F76" w:rsidR="005C36FC" w:rsidRPr="002924DA" w:rsidRDefault="002924DA" w:rsidP="009F0DBF">
      <w:pPr>
        <w:spacing w:after="0" w:line="240" w:lineRule="auto"/>
        <w:jc w:val="both"/>
        <w:rPr>
          <w:rFonts w:ascii="Times New Roman" w:eastAsia="Times New Roman" w:hAnsi="Times New Roman" w:cs="Times New Roman"/>
          <w:bCs/>
          <w:sz w:val="24"/>
          <w:szCs w:val="20"/>
          <w:lang w:eastAsia="ja-JP"/>
        </w:rPr>
      </w:pPr>
      <w:r w:rsidRPr="002924DA">
        <w:rPr>
          <w:rFonts w:ascii="Times New Roman" w:eastAsia="Times New Roman" w:hAnsi="Times New Roman" w:cs="Times New Roman"/>
          <w:bCs/>
          <w:sz w:val="24"/>
          <w:szCs w:val="20"/>
          <w:lang w:eastAsia="ja-JP"/>
        </w:rPr>
        <w:t>If a subrecipient wishes to dispute the decision rendered in the final determination, federal regulations allow the subrecipient to request a hearing to contest the D</w:t>
      </w:r>
      <w:r w:rsidR="0087516B">
        <w:rPr>
          <w:rFonts w:ascii="Times New Roman" w:eastAsia="Times New Roman" w:hAnsi="Times New Roman" w:cs="Times New Roman"/>
          <w:bCs/>
          <w:sz w:val="24"/>
          <w:szCs w:val="20"/>
          <w:lang w:eastAsia="ja-JP"/>
        </w:rPr>
        <w:t>WS</w:t>
      </w:r>
      <w:r w:rsidRPr="002924DA">
        <w:rPr>
          <w:rFonts w:ascii="Times New Roman" w:eastAsia="Times New Roman" w:hAnsi="Times New Roman" w:cs="Times New Roman"/>
          <w:bCs/>
          <w:sz w:val="24"/>
          <w:szCs w:val="20"/>
          <w:lang w:eastAsia="ja-JP"/>
        </w:rPr>
        <w:t xml:space="preserve"> determination.  The hearing is held before a hearing officer designated by the North Carolina Department of Commerce.  A written request for hearing must be sent to the </w:t>
      </w:r>
      <w:r w:rsidR="007E2C9E" w:rsidRPr="002924DA">
        <w:rPr>
          <w:rFonts w:ascii="Times New Roman" w:eastAsia="Times New Roman" w:hAnsi="Times New Roman" w:cs="Times New Roman"/>
          <w:bCs/>
          <w:sz w:val="24"/>
          <w:szCs w:val="20"/>
          <w:lang w:eastAsia="ja-JP"/>
        </w:rPr>
        <w:t>D</w:t>
      </w:r>
      <w:r w:rsidR="007E2C9E">
        <w:rPr>
          <w:rFonts w:ascii="Times New Roman" w:eastAsia="Times New Roman" w:hAnsi="Times New Roman" w:cs="Times New Roman"/>
          <w:bCs/>
          <w:sz w:val="24"/>
          <w:szCs w:val="20"/>
          <w:lang w:eastAsia="ja-JP"/>
        </w:rPr>
        <w:t>WS</w:t>
      </w:r>
      <w:r w:rsidR="007E2C9E" w:rsidRPr="002924DA">
        <w:rPr>
          <w:rFonts w:ascii="Times New Roman" w:eastAsia="Times New Roman" w:hAnsi="Times New Roman" w:cs="Times New Roman"/>
          <w:bCs/>
          <w:sz w:val="24"/>
          <w:szCs w:val="20"/>
          <w:lang w:eastAsia="ja-JP"/>
        </w:rPr>
        <w:t xml:space="preserve"> </w:t>
      </w:r>
      <w:r w:rsidRPr="002924DA">
        <w:rPr>
          <w:rFonts w:ascii="Times New Roman" w:eastAsia="Times New Roman" w:hAnsi="Times New Roman" w:cs="Times New Roman"/>
          <w:bCs/>
          <w:sz w:val="24"/>
          <w:szCs w:val="20"/>
          <w:lang w:eastAsia="ja-JP"/>
        </w:rPr>
        <w:t xml:space="preserve">within thirty (30) days of the date of final determination letter.  </w:t>
      </w:r>
    </w:p>
    <w:p w14:paraId="27AC00DD" w14:textId="77777777" w:rsidR="002924DA" w:rsidRPr="002924DA" w:rsidRDefault="002924DA" w:rsidP="00361C53">
      <w:pPr>
        <w:spacing w:after="0" w:line="240" w:lineRule="auto"/>
        <w:jc w:val="both"/>
        <w:rPr>
          <w:rFonts w:ascii="Times New Roman" w:hAnsi="Times New Roman" w:cs="Times New Roman"/>
          <w:sz w:val="24"/>
          <w:szCs w:val="24"/>
        </w:rPr>
      </w:pPr>
    </w:p>
    <w:p w14:paraId="3C56288D" w14:textId="5D932144" w:rsidR="005D2F29" w:rsidRPr="002924DA" w:rsidRDefault="005D2F29" w:rsidP="009F0DBF">
      <w:pPr>
        <w:jc w:val="both"/>
        <w:rPr>
          <w:rFonts w:ascii="Times New Roman" w:hAnsi="Times New Roman" w:cs="Times New Roman"/>
          <w:b/>
          <w:bCs/>
          <w:sz w:val="24"/>
          <w:szCs w:val="24"/>
          <w:u w:val="single"/>
        </w:rPr>
      </w:pPr>
      <w:r w:rsidRPr="002924DA">
        <w:rPr>
          <w:rFonts w:ascii="Times New Roman" w:hAnsi="Times New Roman" w:cs="Times New Roman"/>
          <w:b/>
          <w:bCs/>
          <w:sz w:val="24"/>
          <w:szCs w:val="24"/>
          <w:u w:val="single"/>
        </w:rPr>
        <w:t>Local Area Monitoring</w:t>
      </w:r>
    </w:p>
    <w:p w14:paraId="520DEE8E" w14:textId="2E461863" w:rsidR="005D2F29" w:rsidRDefault="002924DA" w:rsidP="009F0DBF">
      <w:pPr>
        <w:jc w:val="both"/>
        <w:rPr>
          <w:rFonts w:ascii="Times New Roman" w:hAnsi="Times New Roman" w:cs="Times New Roman"/>
          <w:sz w:val="24"/>
          <w:szCs w:val="24"/>
        </w:rPr>
      </w:pPr>
      <w:r w:rsidRPr="002924DA">
        <w:rPr>
          <w:rFonts w:ascii="Times New Roman" w:hAnsi="Times New Roman" w:cs="Times New Roman"/>
          <w:sz w:val="24"/>
          <w:szCs w:val="24"/>
        </w:rPr>
        <w:t>The subrecipients of the DWS</w:t>
      </w:r>
      <w:r w:rsidR="005D2F29" w:rsidRPr="002924DA">
        <w:rPr>
          <w:rFonts w:ascii="Times New Roman" w:hAnsi="Times New Roman" w:cs="Times New Roman"/>
          <w:sz w:val="24"/>
          <w:szCs w:val="24"/>
        </w:rPr>
        <w:t xml:space="preserve"> have the same responsibilities for oversight and administration of their subrecipients.</w:t>
      </w:r>
      <w:r w:rsidRPr="002924DA">
        <w:rPr>
          <w:rFonts w:ascii="Times New Roman" w:hAnsi="Times New Roman" w:cs="Times New Roman"/>
          <w:sz w:val="24"/>
          <w:szCs w:val="24"/>
        </w:rPr>
        <w:t xml:space="preserve"> Subrecipients</w:t>
      </w:r>
      <w:r w:rsidR="005D2F29" w:rsidRPr="002924DA">
        <w:rPr>
          <w:rFonts w:ascii="Times New Roman" w:hAnsi="Times New Roman" w:cs="Times New Roman"/>
          <w:sz w:val="24"/>
          <w:szCs w:val="24"/>
        </w:rPr>
        <w:t xml:space="preserve"> must monitor all service providers and subrecipients on-site, at least annually, or once during each contract term (for contracts lasting less than one year), for financial and programmatic compliance. The </w:t>
      </w:r>
      <w:r w:rsidRPr="002924DA">
        <w:rPr>
          <w:rFonts w:ascii="Times New Roman" w:hAnsi="Times New Roman" w:cs="Times New Roman"/>
          <w:sz w:val="24"/>
          <w:szCs w:val="24"/>
        </w:rPr>
        <w:t>subrecipient</w:t>
      </w:r>
      <w:r w:rsidR="005D2F29" w:rsidRPr="002924DA">
        <w:rPr>
          <w:rFonts w:ascii="Times New Roman" w:hAnsi="Times New Roman" w:cs="Times New Roman"/>
          <w:sz w:val="24"/>
          <w:szCs w:val="24"/>
        </w:rPr>
        <w:t xml:space="preserve"> must ensure that the use, management, and investment of funds for workforce development activities maximize performance outcomes under WIOA Section 116. Each </w:t>
      </w:r>
      <w:r w:rsidRPr="002924DA">
        <w:rPr>
          <w:rFonts w:ascii="Times New Roman" w:hAnsi="Times New Roman" w:cs="Times New Roman"/>
          <w:sz w:val="24"/>
          <w:szCs w:val="24"/>
        </w:rPr>
        <w:t>WDB</w:t>
      </w:r>
      <w:r w:rsidR="005D2F29" w:rsidRPr="002924DA">
        <w:rPr>
          <w:rFonts w:ascii="Times New Roman" w:hAnsi="Times New Roman" w:cs="Times New Roman"/>
          <w:sz w:val="24"/>
          <w:szCs w:val="24"/>
        </w:rPr>
        <w:t xml:space="preserve"> must develop and implement a Local Monitoring Policy addressing their subrecipient oversight and monitoring process and how the WDB will be engaged in local monitoring and oversight activities. </w:t>
      </w:r>
    </w:p>
    <w:sectPr w:rsidR="005D2F29">
      <w:headerReference w:type="even" r:id="rId11"/>
      <w:headerReference w:type="default" r:id="rId12"/>
      <w:footerReference w:type="even"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9AB08" w14:textId="77777777" w:rsidR="00121770" w:rsidRDefault="00121770" w:rsidP="00D27DA0">
      <w:pPr>
        <w:spacing w:after="0" w:line="240" w:lineRule="auto"/>
      </w:pPr>
      <w:r>
        <w:separator/>
      </w:r>
    </w:p>
    <w:p w14:paraId="5D433DE0" w14:textId="77777777" w:rsidR="00121770" w:rsidRDefault="00121770"/>
  </w:endnote>
  <w:endnote w:type="continuationSeparator" w:id="0">
    <w:p w14:paraId="43F1E240" w14:textId="77777777" w:rsidR="00121770" w:rsidRDefault="00121770" w:rsidP="00D27DA0">
      <w:pPr>
        <w:spacing w:after="0" w:line="240" w:lineRule="auto"/>
      </w:pPr>
      <w:r>
        <w:continuationSeparator/>
      </w:r>
    </w:p>
    <w:p w14:paraId="3181894B" w14:textId="77777777" w:rsidR="00121770" w:rsidRDefault="00121770"/>
  </w:endnote>
  <w:endnote w:type="continuationNotice" w:id="1">
    <w:p w14:paraId="3AC9CF8F" w14:textId="77777777" w:rsidR="00121770" w:rsidRDefault="00121770">
      <w:pPr>
        <w:spacing w:after="0" w:line="240" w:lineRule="auto"/>
      </w:pPr>
    </w:p>
    <w:p w14:paraId="6B2C662E" w14:textId="77777777" w:rsidR="00121770" w:rsidRDefault="00121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59D75" w14:textId="77777777" w:rsidR="00361C53" w:rsidRDefault="00361C53">
    <w:pPr>
      <w:pStyle w:val="Footer"/>
    </w:pPr>
  </w:p>
  <w:p w14:paraId="2F39D848" w14:textId="77777777" w:rsidR="00354629" w:rsidRDefault="003546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0200628"/>
      <w:docPartObj>
        <w:docPartGallery w:val="Page Numbers (Bottom of Page)"/>
        <w:docPartUnique/>
      </w:docPartObj>
    </w:sdtPr>
    <w:sdtEndPr/>
    <w:sdtContent>
      <w:p w14:paraId="597C1197" w14:textId="57384689" w:rsidR="009012C9" w:rsidRPr="00361C53" w:rsidRDefault="009012C9" w:rsidP="00361C53">
        <w:pPr>
          <w:pStyle w:val="Footer"/>
          <w:jc w:val="right"/>
        </w:pPr>
        <w:r w:rsidRPr="00361C53">
          <w:t xml:space="preserve">Commission Policy Statement: CPS </w:t>
        </w:r>
        <w:r w:rsidR="008A54D9">
          <w:t>06</w:t>
        </w:r>
        <w:r w:rsidRPr="00361C53">
          <w:t>-2022</w:t>
        </w:r>
        <w:r w:rsidRPr="00361C53">
          <w:br/>
          <w:t>Attachment 1</w:t>
        </w:r>
      </w:p>
      <w:p w14:paraId="64F39539" w14:textId="43C574AD" w:rsidR="00AC29FD" w:rsidRPr="00361C53" w:rsidRDefault="00121770" w:rsidP="00361C53">
        <w:pPr>
          <w:pStyle w:val="Footer"/>
          <w:tabs>
            <w:tab w:val="left" w:pos="8064"/>
          </w:tabs>
          <w:ind w:left="4320" w:firstLine="3744"/>
          <w:jc w:val="right"/>
        </w:pPr>
        <w:sdt>
          <w:sdtPr>
            <w:id w:val="-1769616900"/>
            <w:docPartObj>
              <w:docPartGallery w:val="Page Numbers (Top of Page)"/>
              <w:docPartUnique/>
            </w:docPartObj>
          </w:sdtPr>
          <w:sdtEndPr/>
          <w:sdtContent>
            <w:r w:rsidR="009012C9" w:rsidRPr="00361C53">
              <w:t xml:space="preserve">Page </w:t>
            </w:r>
            <w:r w:rsidR="009012C9" w:rsidRPr="00361C53">
              <w:rPr>
                <w:sz w:val="24"/>
                <w:szCs w:val="24"/>
              </w:rPr>
              <w:fldChar w:fldCharType="begin"/>
            </w:r>
            <w:r w:rsidR="009012C9" w:rsidRPr="00361C53">
              <w:instrText xml:space="preserve"> PAGE </w:instrText>
            </w:r>
            <w:r w:rsidR="009012C9" w:rsidRPr="00361C53">
              <w:rPr>
                <w:sz w:val="24"/>
                <w:szCs w:val="24"/>
              </w:rPr>
              <w:fldChar w:fldCharType="separate"/>
            </w:r>
            <w:r w:rsidR="00FB4A7C" w:rsidRPr="00361C53">
              <w:rPr>
                <w:noProof/>
              </w:rPr>
              <w:t>6</w:t>
            </w:r>
            <w:r w:rsidR="009012C9" w:rsidRPr="00361C53">
              <w:rPr>
                <w:sz w:val="24"/>
                <w:szCs w:val="24"/>
              </w:rPr>
              <w:fldChar w:fldCharType="end"/>
            </w:r>
            <w:r w:rsidR="009012C9" w:rsidRPr="00361C53">
              <w:t xml:space="preserve"> of </w:t>
            </w:r>
            <w:fldSimple w:instr=" NUMPAGES  ">
              <w:r w:rsidR="00FB4A7C" w:rsidRPr="00361C53">
                <w:rPr>
                  <w:noProof/>
                </w:rPr>
                <w:t>6</w:t>
              </w:r>
            </w:fldSimple>
          </w:sdtContent>
        </w:sdt>
      </w:p>
    </w:sdtContent>
  </w:sdt>
  <w:p w14:paraId="19FA69FC" w14:textId="77777777" w:rsidR="00354629" w:rsidRDefault="003546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613C4" w14:textId="77777777" w:rsidR="00121770" w:rsidRDefault="00121770" w:rsidP="00D27DA0">
      <w:pPr>
        <w:spacing w:after="0" w:line="240" w:lineRule="auto"/>
      </w:pPr>
      <w:r>
        <w:separator/>
      </w:r>
    </w:p>
    <w:p w14:paraId="67613432" w14:textId="77777777" w:rsidR="00121770" w:rsidRDefault="00121770"/>
  </w:footnote>
  <w:footnote w:type="continuationSeparator" w:id="0">
    <w:p w14:paraId="34F1191A" w14:textId="77777777" w:rsidR="00121770" w:rsidRDefault="00121770" w:rsidP="00D27DA0">
      <w:pPr>
        <w:spacing w:after="0" w:line="240" w:lineRule="auto"/>
      </w:pPr>
      <w:r>
        <w:continuationSeparator/>
      </w:r>
    </w:p>
    <w:p w14:paraId="205CBA5D" w14:textId="77777777" w:rsidR="00121770" w:rsidRDefault="00121770"/>
  </w:footnote>
  <w:footnote w:type="continuationNotice" w:id="1">
    <w:p w14:paraId="0BBD0106" w14:textId="77777777" w:rsidR="00121770" w:rsidRDefault="00121770">
      <w:pPr>
        <w:spacing w:after="0" w:line="240" w:lineRule="auto"/>
      </w:pPr>
    </w:p>
    <w:p w14:paraId="6CDD02DE" w14:textId="77777777" w:rsidR="00121770" w:rsidRDefault="001217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68BC" w14:textId="331905F4" w:rsidR="00BD7212" w:rsidRDefault="00121770">
    <w:pPr>
      <w:pStyle w:val="Header"/>
    </w:pPr>
    <w:r>
      <w:rPr>
        <w:noProof/>
      </w:rPr>
      <w:pict w14:anchorId="1E54B7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32985" o:spid="_x0000_s2050" type="#_x0000_t136" style="position:absolute;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0EC4D64C" w14:textId="77777777" w:rsidR="00354629" w:rsidRDefault="003546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1D925" w14:textId="43A1C7CE" w:rsidR="00BD7212" w:rsidRDefault="00121770">
    <w:pPr>
      <w:pStyle w:val="Header"/>
    </w:pPr>
    <w:r>
      <w:rPr>
        <w:noProof/>
      </w:rPr>
      <w:pict w14:anchorId="0DB714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32986" o:spid="_x0000_s2051" type="#_x0000_t136" style="position:absolute;margin-left:0;margin-top:0;width:412.4pt;height:247.4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55A2087C" w14:textId="77777777" w:rsidR="00354629" w:rsidRDefault="0035462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DEA4F" w14:textId="62D39A32" w:rsidR="00BD7212" w:rsidRDefault="00121770">
    <w:pPr>
      <w:pStyle w:val="Header"/>
    </w:pPr>
    <w:r>
      <w:rPr>
        <w:noProof/>
      </w:rPr>
      <w:pict w14:anchorId="0CC0FD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3298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6AE6"/>
    <w:multiLevelType w:val="hybridMultilevel"/>
    <w:tmpl w:val="2B9EC09C"/>
    <w:lvl w:ilvl="0" w:tplc="C1B49CA0">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F1C65"/>
    <w:multiLevelType w:val="hybridMultilevel"/>
    <w:tmpl w:val="09685B80"/>
    <w:lvl w:ilvl="0" w:tplc="DD824D8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F1376"/>
    <w:multiLevelType w:val="hybridMultilevel"/>
    <w:tmpl w:val="B8F069F2"/>
    <w:lvl w:ilvl="0" w:tplc="DD824D8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139ED"/>
    <w:multiLevelType w:val="hybridMultilevel"/>
    <w:tmpl w:val="F74E2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0363B"/>
    <w:multiLevelType w:val="hybridMultilevel"/>
    <w:tmpl w:val="8CC4BB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712637"/>
    <w:multiLevelType w:val="hybridMultilevel"/>
    <w:tmpl w:val="6CFEC3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F65222"/>
    <w:multiLevelType w:val="hybridMultilevel"/>
    <w:tmpl w:val="FDC06ED8"/>
    <w:lvl w:ilvl="0" w:tplc="03C2A1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BA4229"/>
    <w:multiLevelType w:val="hybridMultilevel"/>
    <w:tmpl w:val="B622D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2D0069"/>
    <w:multiLevelType w:val="hybridMultilevel"/>
    <w:tmpl w:val="E19CB4B4"/>
    <w:lvl w:ilvl="0" w:tplc="DD824D8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C679C"/>
    <w:multiLevelType w:val="singleLevel"/>
    <w:tmpl w:val="1FA45C18"/>
    <w:lvl w:ilvl="0">
      <w:start w:val="1"/>
      <w:numFmt w:val="decimal"/>
      <w:lvlText w:val="%1."/>
      <w:lvlJc w:val="left"/>
      <w:pPr>
        <w:tabs>
          <w:tab w:val="num" w:pos="1440"/>
        </w:tabs>
        <w:ind w:left="1440" w:hanging="720"/>
      </w:pPr>
      <w:rPr>
        <w:rFonts w:hint="default"/>
      </w:rPr>
    </w:lvl>
  </w:abstractNum>
  <w:abstractNum w:abstractNumId="10" w15:restartNumberingAfterBreak="0">
    <w:nsid w:val="23005D3B"/>
    <w:multiLevelType w:val="hybridMultilevel"/>
    <w:tmpl w:val="D442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D35CC"/>
    <w:multiLevelType w:val="hybridMultilevel"/>
    <w:tmpl w:val="0C4625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120D08"/>
    <w:multiLevelType w:val="hybridMultilevel"/>
    <w:tmpl w:val="2CC4C3F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9AD1036"/>
    <w:multiLevelType w:val="hybridMultilevel"/>
    <w:tmpl w:val="DB609BB6"/>
    <w:lvl w:ilvl="0" w:tplc="01A8C946">
      <w:start w:val="1"/>
      <w:numFmt w:val="bullet"/>
      <w:lvlText w:val=""/>
      <w:lvlJc w:val="left"/>
      <w:pPr>
        <w:ind w:left="3240" w:hanging="360"/>
      </w:pPr>
      <w:rPr>
        <w:rFonts w:ascii="Symbol" w:hAnsi="Symbol" w:hint="default"/>
        <w:color w:val="auto"/>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2A2D44FA"/>
    <w:multiLevelType w:val="hybridMultilevel"/>
    <w:tmpl w:val="6B841FF6"/>
    <w:lvl w:ilvl="0" w:tplc="64348082">
      <w:start w:val="1"/>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6D470B"/>
    <w:multiLevelType w:val="hybridMultilevel"/>
    <w:tmpl w:val="4E9C50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33C5367"/>
    <w:multiLevelType w:val="hybridMultilevel"/>
    <w:tmpl w:val="A5A89B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51C38E6"/>
    <w:multiLevelType w:val="hybridMultilevel"/>
    <w:tmpl w:val="00AE7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D60884"/>
    <w:multiLevelType w:val="hybridMultilevel"/>
    <w:tmpl w:val="C9A43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76670C7"/>
    <w:multiLevelType w:val="hybridMultilevel"/>
    <w:tmpl w:val="AE76690E"/>
    <w:lvl w:ilvl="0" w:tplc="A694FAC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B974B03"/>
    <w:multiLevelType w:val="hybridMultilevel"/>
    <w:tmpl w:val="EC063D6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3EE352BE"/>
    <w:multiLevelType w:val="hybridMultilevel"/>
    <w:tmpl w:val="FE964AE4"/>
    <w:lvl w:ilvl="0" w:tplc="94F4F7CE">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F334FEE"/>
    <w:multiLevelType w:val="hybridMultilevel"/>
    <w:tmpl w:val="6506F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7B45FA"/>
    <w:multiLevelType w:val="hybridMultilevel"/>
    <w:tmpl w:val="69E4BDF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4" w15:restartNumberingAfterBreak="0">
    <w:nsid w:val="45DD7A46"/>
    <w:multiLevelType w:val="hybridMultilevel"/>
    <w:tmpl w:val="0134A706"/>
    <w:lvl w:ilvl="0" w:tplc="FCFAB978">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467E68"/>
    <w:multiLevelType w:val="hybridMultilevel"/>
    <w:tmpl w:val="556C6C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7A37924"/>
    <w:multiLevelType w:val="hybridMultilevel"/>
    <w:tmpl w:val="6070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793806"/>
    <w:multiLevelType w:val="hybridMultilevel"/>
    <w:tmpl w:val="F39C3D46"/>
    <w:lvl w:ilvl="0" w:tplc="2ADC85D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DE2E54"/>
    <w:multiLevelType w:val="hybridMultilevel"/>
    <w:tmpl w:val="D5D87EA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6C7B97"/>
    <w:multiLevelType w:val="hybridMultilevel"/>
    <w:tmpl w:val="825EF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AB40085"/>
    <w:multiLevelType w:val="hybridMultilevel"/>
    <w:tmpl w:val="E42AC27A"/>
    <w:lvl w:ilvl="0" w:tplc="35C2D6CE">
      <w:start w:val="1"/>
      <w:numFmt w:val="bullet"/>
      <w:lvlText w:val=""/>
      <w:lvlJc w:val="left"/>
      <w:pPr>
        <w:ind w:left="1800" w:hanging="360"/>
      </w:pPr>
      <w:rPr>
        <w:rFonts w:ascii="Symbol" w:hAnsi="Symbol" w:hint="default"/>
        <w:color w:val="auto"/>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BC85320"/>
    <w:multiLevelType w:val="hybridMultilevel"/>
    <w:tmpl w:val="5858B6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4433AEC"/>
    <w:multiLevelType w:val="hybridMultilevel"/>
    <w:tmpl w:val="58C8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834A1F"/>
    <w:multiLevelType w:val="hybridMultilevel"/>
    <w:tmpl w:val="86107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BB84FC0"/>
    <w:multiLevelType w:val="hybridMultilevel"/>
    <w:tmpl w:val="C1E053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7A37BA7"/>
    <w:multiLevelType w:val="hybridMultilevel"/>
    <w:tmpl w:val="F892C1B6"/>
    <w:lvl w:ilvl="0" w:tplc="57500246">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B9329C"/>
    <w:multiLevelType w:val="hybridMultilevel"/>
    <w:tmpl w:val="9620F57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33"/>
  </w:num>
  <w:num w:numId="2">
    <w:abstractNumId w:val="23"/>
  </w:num>
  <w:num w:numId="3">
    <w:abstractNumId w:val="20"/>
  </w:num>
  <w:num w:numId="4">
    <w:abstractNumId w:val="36"/>
  </w:num>
  <w:num w:numId="5">
    <w:abstractNumId w:val="13"/>
  </w:num>
  <w:num w:numId="6">
    <w:abstractNumId w:val="25"/>
  </w:num>
  <w:num w:numId="7">
    <w:abstractNumId w:val="5"/>
  </w:num>
  <w:num w:numId="8">
    <w:abstractNumId w:val="15"/>
  </w:num>
  <w:num w:numId="9">
    <w:abstractNumId w:val="31"/>
  </w:num>
  <w:num w:numId="10">
    <w:abstractNumId w:val="29"/>
  </w:num>
  <w:num w:numId="11">
    <w:abstractNumId w:val="19"/>
  </w:num>
  <w:num w:numId="12">
    <w:abstractNumId w:val="16"/>
  </w:num>
  <w:num w:numId="13">
    <w:abstractNumId w:val="28"/>
  </w:num>
  <w:num w:numId="14">
    <w:abstractNumId w:val="4"/>
  </w:num>
  <w:num w:numId="15">
    <w:abstractNumId w:val="18"/>
  </w:num>
  <w:num w:numId="16">
    <w:abstractNumId w:val="21"/>
  </w:num>
  <w:num w:numId="17">
    <w:abstractNumId w:val="27"/>
  </w:num>
  <w:num w:numId="18">
    <w:abstractNumId w:val="11"/>
  </w:num>
  <w:num w:numId="19">
    <w:abstractNumId w:val="17"/>
  </w:num>
  <w:num w:numId="20">
    <w:abstractNumId w:val="24"/>
  </w:num>
  <w:num w:numId="21">
    <w:abstractNumId w:val="0"/>
  </w:num>
  <w:num w:numId="22">
    <w:abstractNumId w:val="14"/>
  </w:num>
  <w:num w:numId="23">
    <w:abstractNumId w:val="10"/>
  </w:num>
  <w:num w:numId="24">
    <w:abstractNumId w:val="30"/>
  </w:num>
  <w:num w:numId="25">
    <w:abstractNumId w:val="34"/>
  </w:num>
  <w:num w:numId="26">
    <w:abstractNumId w:val="6"/>
  </w:num>
  <w:num w:numId="27">
    <w:abstractNumId w:val="9"/>
  </w:num>
  <w:num w:numId="28">
    <w:abstractNumId w:val="7"/>
  </w:num>
  <w:num w:numId="29">
    <w:abstractNumId w:val="35"/>
  </w:num>
  <w:num w:numId="30">
    <w:abstractNumId w:val="12"/>
  </w:num>
  <w:num w:numId="31">
    <w:abstractNumId w:val="3"/>
  </w:num>
  <w:num w:numId="32">
    <w:abstractNumId w:val="32"/>
  </w:num>
  <w:num w:numId="33">
    <w:abstractNumId w:val="22"/>
  </w:num>
  <w:num w:numId="34">
    <w:abstractNumId w:val="26"/>
  </w:num>
  <w:num w:numId="35">
    <w:abstractNumId w:val="1"/>
  </w:num>
  <w:num w:numId="36">
    <w:abstractNumId w:val="8"/>
  </w:num>
  <w:num w:numId="37">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4E7"/>
    <w:rsid w:val="0000703D"/>
    <w:rsid w:val="00011D31"/>
    <w:rsid w:val="0001240D"/>
    <w:rsid w:val="00012455"/>
    <w:rsid w:val="0001458B"/>
    <w:rsid w:val="000261BA"/>
    <w:rsid w:val="00026F9A"/>
    <w:rsid w:val="000277D2"/>
    <w:rsid w:val="00043B83"/>
    <w:rsid w:val="00044DDB"/>
    <w:rsid w:val="0005264B"/>
    <w:rsid w:val="000560A7"/>
    <w:rsid w:val="0006383F"/>
    <w:rsid w:val="000654B2"/>
    <w:rsid w:val="000738BB"/>
    <w:rsid w:val="0007490A"/>
    <w:rsid w:val="00074BF1"/>
    <w:rsid w:val="000755E3"/>
    <w:rsid w:val="0007579F"/>
    <w:rsid w:val="00080378"/>
    <w:rsid w:val="00091A2D"/>
    <w:rsid w:val="00095C48"/>
    <w:rsid w:val="00096315"/>
    <w:rsid w:val="000979E3"/>
    <w:rsid w:val="000A222B"/>
    <w:rsid w:val="000A4582"/>
    <w:rsid w:val="000B22D8"/>
    <w:rsid w:val="000C489C"/>
    <w:rsid w:val="000D1EB5"/>
    <w:rsid w:val="00102FF3"/>
    <w:rsid w:val="001033EB"/>
    <w:rsid w:val="00103BC8"/>
    <w:rsid w:val="001056D9"/>
    <w:rsid w:val="00121770"/>
    <w:rsid w:val="00124E6F"/>
    <w:rsid w:val="00136B37"/>
    <w:rsid w:val="00156A2B"/>
    <w:rsid w:val="001652CA"/>
    <w:rsid w:val="00167B66"/>
    <w:rsid w:val="0017125C"/>
    <w:rsid w:val="001805DA"/>
    <w:rsid w:val="001858BC"/>
    <w:rsid w:val="00194373"/>
    <w:rsid w:val="001947A1"/>
    <w:rsid w:val="001A021B"/>
    <w:rsid w:val="001A599B"/>
    <w:rsid w:val="001B3144"/>
    <w:rsid w:val="001B4202"/>
    <w:rsid w:val="001B54EB"/>
    <w:rsid w:val="001C5C73"/>
    <w:rsid w:val="001D250C"/>
    <w:rsid w:val="001D446E"/>
    <w:rsid w:val="001E3AA4"/>
    <w:rsid w:val="001F1735"/>
    <w:rsid w:val="001F369D"/>
    <w:rsid w:val="001F3835"/>
    <w:rsid w:val="002022C0"/>
    <w:rsid w:val="0021014F"/>
    <w:rsid w:val="0021088F"/>
    <w:rsid w:val="00212CBF"/>
    <w:rsid w:val="00214569"/>
    <w:rsid w:val="002222AD"/>
    <w:rsid w:val="0022352C"/>
    <w:rsid w:val="002269E1"/>
    <w:rsid w:val="002353A6"/>
    <w:rsid w:val="0024628E"/>
    <w:rsid w:val="00261C52"/>
    <w:rsid w:val="00261EE8"/>
    <w:rsid w:val="00263676"/>
    <w:rsid w:val="00280997"/>
    <w:rsid w:val="00282B5F"/>
    <w:rsid w:val="002924DA"/>
    <w:rsid w:val="00295D8C"/>
    <w:rsid w:val="00297378"/>
    <w:rsid w:val="002A3840"/>
    <w:rsid w:val="002B710A"/>
    <w:rsid w:val="002C1D23"/>
    <w:rsid w:val="002D0A44"/>
    <w:rsid w:val="002D1D68"/>
    <w:rsid w:val="002D3DF0"/>
    <w:rsid w:val="002E0A6F"/>
    <w:rsid w:val="002E2A1A"/>
    <w:rsid w:val="00302527"/>
    <w:rsid w:val="0030347A"/>
    <w:rsid w:val="0032666A"/>
    <w:rsid w:val="003333F8"/>
    <w:rsid w:val="00333B04"/>
    <w:rsid w:val="00334C9F"/>
    <w:rsid w:val="00335386"/>
    <w:rsid w:val="0034585F"/>
    <w:rsid w:val="00350E27"/>
    <w:rsid w:val="00354629"/>
    <w:rsid w:val="003563A1"/>
    <w:rsid w:val="00361C53"/>
    <w:rsid w:val="003635DC"/>
    <w:rsid w:val="003804F2"/>
    <w:rsid w:val="003B0535"/>
    <w:rsid w:val="003B073E"/>
    <w:rsid w:val="003B4016"/>
    <w:rsid w:val="003B4220"/>
    <w:rsid w:val="003C4614"/>
    <w:rsid w:val="003C7432"/>
    <w:rsid w:val="004235A3"/>
    <w:rsid w:val="00440E2D"/>
    <w:rsid w:val="00441662"/>
    <w:rsid w:val="00446316"/>
    <w:rsid w:val="0045087D"/>
    <w:rsid w:val="00451070"/>
    <w:rsid w:val="0045433F"/>
    <w:rsid w:val="00456A55"/>
    <w:rsid w:val="00473EF8"/>
    <w:rsid w:val="00475F1C"/>
    <w:rsid w:val="00487382"/>
    <w:rsid w:val="004A45FD"/>
    <w:rsid w:val="004D553C"/>
    <w:rsid w:val="004E0F97"/>
    <w:rsid w:val="004E4AB0"/>
    <w:rsid w:val="004E66DA"/>
    <w:rsid w:val="004F5FC8"/>
    <w:rsid w:val="0052791B"/>
    <w:rsid w:val="00531254"/>
    <w:rsid w:val="00541765"/>
    <w:rsid w:val="0059510F"/>
    <w:rsid w:val="005A5827"/>
    <w:rsid w:val="005A6401"/>
    <w:rsid w:val="005B6E83"/>
    <w:rsid w:val="005C028A"/>
    <w:rsid w:val="005C36FC"/>
    <w:rsid w:val="005D2F29"/>
    <w:rsid w:val="005F2C95"/>
    <w:rsid w:val="00601CD7"/>
    <w:rsid w:val="00606B53"/>
    <w:rsid w:val="00611D8F"/>
    <w:rsid w:val="00616C29"/>
    <w:rsid w:val="0062749C"/>
    <w:rsid w:val="00651EF3"/>
    <w:rsid w:val="00654B2A"/>
    <w:rsid w:val="00664931"/>
    <w:rsid w:val="006654CA"/>
    <w:rsid w:val="00666BCF"/>
    <w:rsid w:val="0067029C"/>
    <w:rsid w:val="00670527"/>
    <w:rsid w:val="006746D9"/>
    <w:rsid w:val="006825DA"/>
    <w:rsid w:val="00684AE1"/>
    <w:rsid w:val="00685867"/>
    <w:rsid w:val="00686597"/>
    <w:rsid w:val="00690B3E"/>
    <w:rsid w:val="00692AAC"/>
    <w:rsid w:val="006A30A8"/>
    <w:rsid w:val="006A7759"/>
    <w:rsid w:val="006A7C6F"/>
    <w:rsid w:val="006B7C58"/>
    <w:rsid w:val="006D0F53"/>
    <w:rsid w:val="006D7184"/>
    <w:rsid w:val="006E6570"/>
    <w:rsid w:val="006F2410"/>
    <w:rsid w:val="007031D4"/>
    <w:rsid w:val="00706F8E"/>
    <w:rsid w:val="007158BB"/>
    <w:rsid w:val="007220E6"/>
    <w:rsid w:val="00726968"/>
    <w:rsid w:val="00757292"/>
    <w:rsid w:val="007600B5"/>
    <w:rsid w:val="00763B7F"/>
    <w:rsid w:val="007658E2"/>
    <w:rsid w:val="00770DD0"/>
    <w:rsid w:val="00771471"/>
    <w:rsid w:val="007802F6"/>
    <w:rsid w:val="007A0F2C"/>
    <w:rsid w:val="007A2EFC"/>
    <w:rsid w:val="007A6B27"/>
    <w:rsid w:val="007B2ED6"/>
    <w:rsid w:val="007B3F6B"/>
    <w:rsid w:val="007E0895"/>
    <w:rsid w:val="007E1B21"/>
    <w:rsid w:val="007E1DED"/>
    <w:rsid w:val="007E2C9E"/>
    <w:rsid w:val="007E3AF7"/>
    <w:rsid w:val="007F5390"/>
    <w:rsid w:val="008110BA"/>
    <w:rsid w:val="0081401F"/>
    <w:rsid w:val="00835BCC"/>
    <w:rsid w:val="00837620"/>
    <w:rsid w:val="00843452"/>
    <w:rsid w:val="00855121"/>
    <w:rsid w:val="00855805"/>
    <w:rsid w:val="00860BC7"/>
    <w:rsid w:val="00871414"/>
    <w:rsid w:val="0087516B"/>
    <w:rsid w:val="0088782A"/>
    <w:rsid w:val="00893335"/>
    <w:rsid w:val="00895E84"/>
    <w:rsid w:val="008A4599"/>
    <w:rsid w:val="008A54D9"/>
    <w:rsid w:val="008B32C7"/>
    <w:rsid w:val="008C0E3F"/>
    <w:rsid w:val="008C29CA"/>
    <w:rsid w:val="008D45EB"/>
    <w:rsid w:val="008E58AB"/>
    <w:rsid w:val="008E62A4"/>
    <w:rsid w:val="008E696E"/>
    <w:rsid w:val="009012C9"/>
    <w:rsid w:val="00901611"/>
    <w:rsid w:val="00904CB1"/>
    <w:rsid w:val="00910518"/>
    <w:rsid w:val="00910F35"/>
    <w:rsid w:val="009210EC"/>
    <w:rsid w:val="0093026F"/>
    <w:rsid w:val="0093275C"/>
    <w:rsid w:val="009347B3"/>
    <w:rsid w:val="00934EA3"/>
    <w:rsid w:val="0094233C"/>
    <w:rsid w:val="00942F02"/>
    <w:rsid w:val="009532C4"/>
    <w:rsid w:val="00956863"/>
    <w:rsid w:val="00960D36"/>
    <w:rsid w:val="00961A00"/>
    <w:rsid w:val="00964E9D"/>
    <w:rsid w:val="009803B0"/>
    <w:rsid w:val="00983BDF"/>
    <w:rsid w:val="00984AF0"/>
    <w:rsid w:val="009867B0"/>
    <w:rsid w:val="009869B2"/>
    <w:rsid w:val="009A6D17"/>
    <w:rsid w:val="009B5A79"/>
    <w:rsid w:val="009B70A9"/>
    <w:rsid w:val="009C5AB2"/>
    <w:rsid w:val="009D0FF8"/>
    <w:rsid w:val="009D671A"/>
    <w:rsid w:val="009E1E2A"/>
    <w:rsid w:val="009E4A36"/>
    <w:rsid w:val="009F021E"/>
    <w:rsid w:val="009F08FA"/>
    <w:rsid w:val="009F0DBF"/>
    <w:rsid w:val="009F2FD4"/>
    <w:rsid w:val="00A0398A"/>
    <w:rsid w:val="00A25E1E"/>
    <w:rsid w:val="00A2681D"/>
    <w:rsid w:val="00A3318F"/>
    <w:rsid w:val="00A63C45"/>
    <w:rsid w:val="00A702F4"/>
    <w:rsid w:val="00A703D1"/>
    <w:rsid w:val="00A75D75"/>
    <w:rsid w:val="00A81D55"/>
    <w:rsid w:val="00A822E9"/>
    <w:rsid w:val="00A85720"/>
    <w:rsid w:val="00A93806"/>
    <w:rsid w:val="00AA3495"/>
    <w:rsid w:val="00AA7F0D"/>
    <w:rsid w:val="00AB6EE6"/>
    <w:rsid w:val="00AC29FD"/>
    <w:rsid w:val="00AC4B53"/>
    <w:rsid w:val="00AC4ECA"/>
    <w:rsid w:val="00AD6E6E"/>
    <w:rsid w:val="00AD74F1"/>
    <w:rsid w:val="00AF34CE"/>
    <w:rsid w:val="00B07365"/>
    <w:rsid w:val="00B3051F"/>
    <w:rsid w:val="00B33A55"/>
    <w:rsid w:val="00B51FC4"/>
    <w:rsid w:val="00B56490"/>
    <w:rsid w:val="00B61B76"/>
    <w:rsid w:val="00B71A3E"/>
    <w:rsid w:val="00B73168"/>
    <w:rsid w:val="00B86BC7"/>
    <w:rsid w:val="00BA0E23"/>
    <w:rsid w:val="00BA1709"/>
    <w:rsid w:val="00BA44C8"/>
    <w:rsid w:val="00BA7B0B"/>
    <w:rsid w:val="00BB01A3"/>
    <w:rsid w:val="00BB6410"/>
    <w:rsid w:val="00BC679E"/>
    <w:rsid w:val="00BC7650"/>
    <w:rsid w:val="00BD2283"/>
    <w:rsid w:val="00BD7212"/>
    <w:rsid w:val="00BF0033"/>
    <w:rsid w:val="00BF17C3"/>
    <w:rsid w:val="00BF1E82"/>
    <w:rsid w:val="00C147F4"/>
    <w:rsid w:val="00C23E7E"/>
    <w:rsid w:val="00C26AF0"/>
    <w:rsid w:val="00C27780"/>
    <w:rsid w:val="00C336CE"/>
    <w:rsid w:val="00C4078A"/>
    <w:rsid w:val="00C61D03"/>
    <w:rsid w:val="00C624E7"/>
    <w:rsid w:val="00C66BE3"/>
    <w:rsid w:val="00C74F22"/>
    <w:rsid w:val="00C82B75"/>
    <w:rsid w:val="00CA41BE"/>
    <w:rsid w:val="00CC6B7D"/>
    <w:rsid w:val="00CD4CEF"/>
    <w:rsid w:val="00CE588D"/>
    <w:rsid w:val="00D02040"/>
    <w:rsid w:val="00D12803"/>
    <w:rsid w:val="00D17FDD"/>
    <w:rsid w:val="00D2206E"/>
    <w:rsid w:val="00D26562"/>
    <w:rsid w:val="00D27DA0"/>
    <w:rsid w:val="00D37AB2"/>
    <w:rsid w:val="00D40F2C"/>
    <w:rsid w:val="00D5293B"/>
    <w:rsid w:val="00D54FA4"/>
    <w:rsid w:val="00D602B5"/>
    <w:rsid w:val="00D611D1"/>
    <w:rsid w:val="00D63A7E"/>
    <w:rsid w:val="00D65C51"/>
    <w:rsid w:val="00D7637D"/>
    <w:rsid w:val="00D82C05"/>
    <w:rsid w:val="00D9056F"/>
    <w:rsid w:val="00DA021A"/>
    <w:rsid w:val="00DA0269"/>
    <w:rsid w:val="00DA0E5C"/>
    <w:rsid w:val="00DB2B2E"/>
    <w:rsid w:val="00DC0E05"/>
    <w:rsid w:val="00DC4BD5"/>
    <w:rsid w:val="00DD30B5"/>
    <w:rsid w:val="00DD5713"/>
    <w:rsid w:val="00DE34A7"/>
    <w:rsid w:val="00DF0F68"/>
    <w:rsid w:val="00DF1880"/>
    <w:rsid w:val="00DF1A0C"/>
    <w:rsid w:val="00DF3A24"/>
    <w:rsid w:val="00E02D5F"/>
    <w:rsid w:val="00E05861"/>
    <w:rsid w:val="00E125B3"/>
    <w:rsid w:val="00E21861"/>
    <w:rsid w:val="00E22331"/>
    <w:rsid w:val="00E25B24"/>
    <w:rsid w:val="00E34244"/>
    <w:rsid w:val="00E349ED"/>
    <w:rsid w:val="00E45DD8"/>
    <w:rsid w:val="00E53C1B"/>
    <w:rsid w:val="00E653DB"/>
    <w:rsid w:val="00E71F37"/>
    <w:rsid w:val="00E80CC5"/>
    <w:rsid w:val="00E82CDC"/>
    <w:rsid w:val="00E85498"/>
    <w:rsid w:val="00E868F0"/>
    <w:rsid w:val="00E91C5F"/>
    <w:rsid w:val="00E94A36"/>
    <w:rsid w:val="00EA11D9"/>
    <w:rsid w:val="00EB4F0B"/>
    <w:rsid w:val="00EC0DF8"/>
    <w:rsid w:val="00EC2D8F"/>
    <w:rsid w:val="00ED2325"/>
    <w:rsid w:val="00ED62CF"/>
    <w:rsid w:val="00F04DD9"/>
    <w:rsid w:val="00F21015"/>
    <w:rsid w:val="00F27CAC"/>
    <w:rsid w:val="00F4434E"/>
    <w:rsid w:val="00F44EAA"/>
    <w:rsid w:val="00F66381"/>
    <w:rsid w:val="00F678E7"/>
    <w:rsid w:val="00F72A60"/>
    <w:rsid w:val="00F75C84"/>
    <w:rsid w:val="00F80779"/>
    <w:rsid w:val="00FB4A7C"/>
    <w:rsid w:val="00FD00FB"/>
    <w:rsid w:val="00FD087A"/>
    <w:rsid w:val="00FD337B"/>
    <w:rsid w:val="00FD4C1E"/>
    <w:rsid w:val="00FE044E"/>
    <w:rsid w:val="00FE1270"/>
    <w:rsid w:val="00FF7438"/>
    <w:rsid w:val="0670D6D8"/>
    <w:rsid w:val="0CB0E28F"/>
    <w:rsid w:val="12B50041"/>
    <w:rsid w:val="1B700D1A"/>
    <w:rsid w:val="2F187D10"/>
    <w:rsid w:val="32ED42D6"/>
    <w:rsid w:val="3930D632"/>
    <w:rsid w:val="3E72D121"/>
    <w:rsid w:val="4DA335DD"/>
    <w:rsid w:val="4F577511"/>
    <w:rsid w:val="5130F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0096C6"/>
  <w15:chartTrackingRefBased/>
  <w15:docId w15:val="{33981554-746A-4D7A-B1A0-89113E39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7029C"/>
  </w:style>
  <w:style w:type="paragraph" w:styleId="Heading1">
    <w:name w:val="heading 1"/>
    <w:basedOn w:val="Normal"/>
    <w:next w:val="Normal"/>
    <w:link w:val="Heading1Char"/>
    <w:qFormat/>
    <w:rsid w:val="00C624E7"/>
    <w:pPr>
      <w:keepNext/>
      <w:spacing w:after="0" w:line="240" w:lineRule="auto"/>
      <w:jc w:val="center"/>
      <w:outlineLvl w:val="0"/>
    </w:pPr>
    <w:rPr>
      <w:rFonts w:ascii="CG Times" w:eastAsia="Times New Roman" w:hAnsi="CG Times" w:cs="Times New Roman"/>
      <w:sz w:val="32"/>
      <w:szCs w:val="20"/>
    </w:rPr>
  </w:style>
  <w:style w:type="paragraph" w:styleId="Heading2">
    <w:name w:val="heading 2"/>
    <w:basedOn w:val="Normal"/>
    <w:next w:val="Normal"/>
    <w:link w:val="Heading2Char"/>
    <w:qFormat/>
    <w:rsid w:val="00C624E7"/>
    <w:pPr>
      <w:keepNext/>
      <w:spacing w:after="0" w:line="240" w:lineRule="auto"/>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C624E7"/>
    <w:pPr>
      <w:keepNext/>
      <w:spacing w:after="0" w:line="240" w:lineRule="auto"/>
      <w:jc w:val="center"/>
      <w:outlineLvl w:val="2"/>
    </w:pPr>
    <w:rPr>
      <w:rFonts w:ascii="CG Times" w:eastAsia="Times New Roman" w:hAnsi="CG Times" w:cs="Times New Roman"/>
      <w:b/>
      <w:sz w:val="32"/>
      <w:szCs w:val="20"/>
    </w:rPr>
  </w:style>
  <w:style w:type="paragraph" w:styleId="Heading4">
    <w:name w:val="heading 4"/>
    <w:basedOn w:val="Normal"/>
    <w:next w:val="Normal"/>
    <w:link w:val="Heading4Char"/>
    <w:qFormat/>
    <w:rsid w:val="00C624E7"/>
    <w:pPr>
      <w:keepNext/>
      <w:spacing w:after="0" w:line="240" w:lineRule="auto"/>
      <w:jc w:val="center"/>
      <w:outlineLvl w:val="3"/>
    </w:pPr>
    <w:rPr>
      <w:rFonts w:ascii="Times New Roman" w:eastAsia="Times New Roman" w:hAnsi="Times New Roman" w:cs="Times New Roman"/>
      <w:b/>
      <w:sz w:val="28"/>
      <w:szCs w:val="20"/>
    </w:rPr>
  </w:style>
  <w:style w:type="paragraph" w:styleId="Heading5">
    <w:name w:val="heading 5"/>
    <w:basedOn w:val="Normal"/>
    <w:next w:val="Normal"/>
    <w:link w:val="Heading5Char"/>
    <w:qFormat/>
    <w:rsid w:val="00C624E7"/>
    <w:pPr>
      <w:keepNext/>
      <w:spacing w:after="0" w:line="240" w:lineRule="auto"/>
      <w:outlineLvl w:val="4"/>
    </w:pPr>
    <w:rPr>
      <w:rFonts w:ascii="CG Times" w:eastAsia="Times New Roman" w:hAnsi="CG Times" w:cs="Times New Roman"/>
      <w:b/>
      <w:sz w:val="24"/>
      <w:szCs w:val="20"/>
    </w:rPr>
  </w:style>
  <w:style w:type="paragraph" w:styleId="Heading6">
    <w:name w:val="heading 6"/>
    <w:basedOn w:val="Normal"/>
    <w:next w:val="Normal"/>
    <w:link w:val="Heading6Char"/>
    <w:qFormat/>
    <w:rsid w:val="00C624E7"/>
    <w:pPr>
      <w:keepNext/>
      <w:spacing w:after="0" w:line="240" w:lineRule="auto"/>
      <w:outlineLvl w:val="5"/>
    </w:pPr>
    <w:rPr>
      <w:rFonts w:ascii="CG Times" w:eastAsia="Times New Roman" w:hAnsi="CG Times" w:cs="Times New Roman"/>
      <w:sz w:val="24"/>
      <w:szCs w:val="20"/>
    </w:rPr>
  </w:style>
  <w:style w:type="paragraph" w:styleId="Heading7">
    <w:name w:val="heading 7"/>
    <w:basedOn w:val="Normal"/>
    <w:next w:val="Normal"/>
    <w:link w:val="Heading7Char"/>
    <w:qFormat/>
    <w:rsid w:val="00C624E7"/>
    <w:pPr>
      <w:keepNext/>
      <w:spacing w:after="0" w:line="240" w:lineRule="auto"/>
      <w:jc w:val="right"/>
      <w:outlineLvl w:val="6"/>
    </w:pPr>
    <w:rPr>
      <w:rFonts w:ascii="Times New Roman" w:eastAsia="Times New Roman" w:hAnsi="Times New Roman" w:cs="Times New Roman"/>
      <w:b/>
      <w:sz w:val="20"/>
      <w:szCs w:val="20"/>
    </w:rPr>
  </w:style>
  <w:style w:type="paragraph" w:styleId="Heading8">
    <w:name w:val="heading 8"/>
    <w:basedOn w:val="Normal"/>
    <w:next w:val="Normal"/>
    <w:link w:val="Heading8Char"/>
    <w:qFormat/>
    <w:rsid w:val="00C624E7"/>
    <w:pPr>
      <w:keepNext/>
      <w:spacing w:after="0" w:line="240" w:lineRule="auto"/>
      <w:jc w:val="both"/>
      <w:outlineLvl w:val="7"/>
    </w:pPr>
    <w:rPr>
      <w:rFonts w:ascii="Times New Roman" w:eastAsia="Times New Roman" w:hAnsi="Times New Roman" w:cs="Times New Roman"/>
      <w:b/>
      <w:sz w:val="24"/>
      <w:szCs w:val="20"/>
    </w:rPr>
  </w:style>
  <w:style w:type="paragraph" w:styleId="Heading9">
    <w:name w:val="heading 9"/>
    <w:basedOn w:val="Normal"/>
    <w:next w:val="Normal"/>
    <w:link w:val="Heading9Char"/>
    <w:qFormat/>
    <w:rsid w:val="00C624E7"/>
    <w:pPr>
      <w:keepNext/>
      <w:spacing w:after="0" w:line="240" w:lineRule="auto"/>
      <w:jc w:val="center"/>
      <w:outlineLvl w:val="8"/>
    </w:pPr>
    <w:rPr>
      <w:rFonts w:ascii="Times New Roman" w:eastAsia="Times New Roman" w:hAnsi="Times New Roman" w:cs="Times New Roman"/>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24E7"/>
    <w:rPr>
      <w:rFonts w:ascii="CG Times" w:eastAsia="Times New Roman" w:hAnsi="CG Times" w:cs="Times New Roman"/>
      <w:sz w:val="32"/>
      <w:szCs w:val="20"/>
    </w:rPr>
  </w:style>
  <w:style w:type="character" w:customStyle="1" w:styleId="Heading2Char">
    <w:name w:val="Heading 2 Char"/>
    <w:basedOn w:val="DefaultParagraphFont"/>
    <w:link w:val="Heading2"/>
    <w:rsid w:val="00C624E7"/>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C624E7"/>
    <w:rPr>
      <w:rFonts w:ascii="CG Times" w:eastAsia="Times New Roman" w:hAnsi="CG Times" w:cs="Times New Roman"/>
      <w:b/>
      <w:sz w:val="32"/>
      <w:szCs w:val="20"/>
    </w:rPr>
  </w:style>
  <w:style w:type="character" w:customStyle="1" w:styleId="Heading4Char">
    <w:name w:val="Heading 4 Char"/>
    <w:basedOn w:val="DefaultParagraphFont"/>
    <w:link w:val="Heading4"/>
    <w:rsid w:val="00C624E7"/>
    <w:rPr>
      <w:rFonts w:ascii="Times New Roman" w:eastAsia="Times New Roman" w:hAnsi="Times New Roman" w:cs="Times New Roman"/>
      <w:b/>
      <w:sz w:val="28"/>
      <w:szCs w:val="20"/>
    </w:rPr>
  </w:style>
  <w:style w:type="character" w:customStyle="1" w:styleId="Heading5Char">
    <w:name w:val="Heading 5 Char"/>
    <w:basedOn w:val="DefaultParagraphFont"/>
    <w:link w:val="Heading5"/>
    <w:rsid w:val="00C624E7"/>
    <w:rPr>
      <w:rFonts w:ascii="CG Times" w:eastAsia="Times New Roman" w:hAnsi="CG Times" w:cs="Times New Roman"/>
      <w:b/>
      <w:sz w:val="24"/>
      <w:szCs w:val="20"/>
    </w:rPr>
  </w:style>
  <w:style w:type="character" w:customStyle="1" w:styleId="Heading6Char">
    <w:name w:val="Heading 6 Char"/>
    <w:basedOn w:val="DefaultParagraphFont"/>
    <w:link w:val="Heading6"/>
    <w:rsid w:val="00C624E7"/>
    <w:rPr>
      <w:rFonts w:ascii="CG Times" w:eastAsia="Times New Roman" w:hAnsi="CG Times" w:cs="Times New Roman"/>
      <w:sz w:val="24"/>
      <w:szCs w:val="20"/>
    </w:rPr>
  </w:style>
  <w:style w:type="character" w:customStyle="1" w:styleId="Heading7Char">
    <w:name w:val="Heading 7 Char"/>
    <w:basedOn w:val="DefaultParagraphFont"/>
    <w:link w:val="Heading7"/>
    <w:rsid w:val="00C624E7"/>
    <w:rPr>
      <w:rFonts w:ascii="Times New Roman" w:eastAsia="Times New Roman" w:hAnsi="Times New Roman" w:cs="Times New Roman"/>
      <w:b/>
      <w:sz w:val="20"/>
      <w:szCs w:val="20"/>
    </w:rPr>
  </w:style>
  <w:style w:type="character" w:customStyle="1" w:styleId="Heading8Char">
    <w:name w:val="Heading 8 Char"/>
    <w:basedOn w:val="DefaultParagraphFont"/>
    <w:link w:val="Heading8"/>
    <w:rsid w:val="00C624E7"/>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C624E7"/>
    <w:rPr>
      <w:rFonts w:ascii="Times New Roman" w:eastAsia="Times New Roman" w:hAnsi="Times New Roman" w:cs="Times New Roman"/>
      <w:i/>
      <w:sz w:val="28"/>
      <w:szCs w:val="20"/>
    </w:rPr>
  </w:style>
  <w:style w:type="table" w:styleId="TableGrid">
    <w:name w:val="Table Grid"/>
    <w:basedOn w:val="TableNormal"/>
    <w:uiPriority w:val="39"/>
    <w:rsid w:val="00C624E7"/>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624E7"/>
    <w:pPr>
      <w:spacing w:after="0" w:line="240" w:lineRule="auto"/>
      <w:ind w:left="1440" w:hanging="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624E7"/>
    <w:rPr>
      <w:rFonts w:ascii="Times New Roman" w:eastAsia="Times New Roman" w:hAnsi="Times New Roman" w:cs="Times New Roman"/>
      <w:sz w:val="24"/>
      <w:szCs w:val="24"/>
    </w:rPr>
  </w:style>
  <w:style w:type="paragraph" w:styleId="NoSpacing">
    <w:name w:val="No Spacing"/>
    <w:uiPriority w:val="1"/>
    <w:qFormat/>
    <w:rsid w:val="00C624E7"/>
    <w:pPr>
      <w:widowControl w:val="0"/>
      <w:spacing w:after="0" w:line="240" w:lineRule="auto"/>
    </w:pPr>
  </w:style>
  <w:style w:type="paragraph" w:styleId="BodyText">
    <w:name w:val="Body Text"/>
    <w:basedOn w:val="Normal"/>
    <w:link w:val="BodyTextChar"/>
    <w:unhideWhenUsed/>
    <w:rsid w:val="00C624E7"/>
    <w:pPr>
      <w:spacing w:after="120"/>
    </w:pPr>
  </w:style>
  <w:style w:type="character" w:customStyle="1" w:styleId="BodyTextChar">
    <w:name w:val="Body Text Char"/>
    <w:basedOn w:val="DefaultParagraphFont"/>
    <w:link w:val="BodyText"/>
    <w:rsid w:val="00C624E7"/>
  </w:style>
  <w:style w:type="paragraph" w:styleId="Caption">
    <w:name w:val="caption"/>
    <w:basedOn w:val="Normal"/>
    <w:next w:val="Normal"/>
    <w:qFormat/>
    <w:rsid w:val="00C624E7"/>
    <w:pPr>
      <w:spacing w:after="0" w:line="240" w:lineRule="auto"/>
    </w:pPr>
    <w:rPr>
      <w:rFonts w:ascii="Times New Roman" w:eastAsia="Times New Roman" w:hAnsi="Times New Roman" w:cs="Times New Roman"/>
      <w:b/>
      <w:sz w:val="24"/>
      <w:szCs w:val="20"/>
    </w:rPr>
  </w:style>
  <w:style w:type="paragraph" w:styleId="Header">
    <w:name w:val="header"/>
    <w:basedOn w:val="Normal"/>
    <w:link w:val="HeaderChar"/>
    <w:rsid w:val="00C624E7"/>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C624E7"/>
    <w:rPr>
      <w:rFonts w:ascii="Times New Roman" w:eastAsia="Times New Roman" w:hAnsi="Times New Roman" w:cs="Times New Roman"/>
      <w:sz w:val="20"/>
      <w:szCs w:val="20"/>
    </w:rPr>
  </w:style>
  <w:style w:type="paragraph" w:styleId="Footer">
    <w:name w:val="footer"/>
    <w:basedOn w:val="Normal"/>
    <w:link w:val="FooterChar"/>
    <w:uiPriority w:val="99"/>
    <w:rsid w:val="00C624E7"/>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C624E7"/>
    <w:rPr>
      <w:rFonts w:ascii="Times New Roman" w:eastAsia="Times New Roman" w:hAnsi="Times New Roman" w:cs="Times New Roman"/>
      <w:sz w:val="20"/>
      <w:szCs w:val="20"/>
    </w:rPr>
  </w:style>
  <w:style w:type="character" w:styleId="Hyperlink">
    <w:name w:val="Hyperlink"/>
    <w:rsid w:val="00C624E7"/>
    <w:rPr>
      <w:color w:val="0000FF"/>
      <w:u w:val="single"/>
    </w:rPr>
  </w:style>
  <w:style w:type="character" w:styleId="FollowedHyperlink">
    <w:name w:val="FollowedHyperlink"/>
    <w:rsid w:val="00C624E7"/>
    <w:rPr>
      <w:color w:val="800080"/>
      <w:u w:val="single"/>
    </w:rPr>
  </w:style>
  <w:style w:type="character" w:customStyle="1" w:styleId="contenttext1">
    <w:name w:val="contenttext1"/>
    <w:rsid w:val="00C624E7"/>
    <w:rPr>
      <w:rFonts w:ascii="Arial" w:hAnsi="Arial" w:cs="Arial" w:hint="default"/>
      <w:color w:val="000000"/>
      <w:sz w:val="18"/>
      <w:szCs w:val="18"/>
    </w:rPr>
  </w:style>
  <w:style w:type="character" w:customStyle="1" w:styleId="tabletext">
    <w:name w:val="tabletext"/>
    <w:basedOn w:val="DefaultParagraphFont"/>
    <w:rsid w:val="00C624E7"/>
  </w:style>
  <w:style w:type="character" w:styleId="HTMLAcronym">
    <w:name w:val="HTML Acronym"/>
    <w:basedOn w:val="DefaultParagraphFont"/>
    <w:rsid w:val="00C624E7"/>
  </w:style>
  <w:style w:type="paragraph" w:styleId="BodyTextIndent2">
    <w:name w:val="Body Text Indent 2"/>
    <w:basedOn w:val="Normal"/>
    <w:link w:val="BodyTextIndent2Char"/>
    <w:rsid w:val="00C624E7"/>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C624E7"/>
    <w:rPr>
      <w:rFonts w:ascii="Times New Roman" w:eastAsia="Times New Roman" w:hAnsi="Times New Roman" w:cs="Times New Roman"/>
      <w:sz w:val="20"/>
      <w:szCs w:val="20"/>
    </w:rPr>
  </w:style>
  <w:style w:type="paragraph" w:styleId="BodyTextIndent3">
    <w:name w:val="Body Text Indent 3"/>
    <w:basedOn w:val="Normal"/>
    <w:link w:val="BodyTextIndent3Char"/>
    <w:rsid w:val="00C624E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624E7"/>
    <w:rPr>
      <w:rFonts w:ascii="Times New Roman" w:eastAsia="Times New Roman" w:hAnsi="Times New Roman" w:cs="Times New Roman"/>
      <w:sz w:val="16"/>
      <w:szCs w:val="16"/>
    </w:rPr>
  </w:style>
  <w:style w:type="paragraph" w:styleId="ListParagraph">
    <w:name w:val="List Paragraph"/>
    <w:basedOn w:val="Normal"/>
    <w:uiPriority w:val="34"/>
    <w:qFormat/>
    <w:rsid w:val="00C624E7"/>
    <w:pPr>
      <w:spacing w:after="0" w:line="240" w:lineRule="auto"/>
      <w:ind w:left="720"/>
    </w:pPr>
    <w:rPr>
      <w:rFonts w:ascii="Times New Roman" w:eastAsia="Times New Roman" w:hAnsi="Times New Roman" w:cs="Times New Roman"/>
      <w:sz w:val="20"/>
      <w:szCs w:val="20"/>
    </w:rPr>
  </w:style>
  <w:style w:type="paragraph" w:styleId="BalloonText">
    <w:name w:val="Balloon Text"/>
    <w:basedOn w:val="Normal"/>
    <w:link w:val="BalloonTextChar"/>
    <w:rsid w:val="00C624E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C624E7"/>
    <w:rPr>
      <w:rFonts w:ascii="Tahoma" w:eastAsia="Times New Roman" w:hAnsi="Tahoma" w:cs="Tahoma"/>
      <w:sz w:val="16"/>
      <w:szCs w:val="16"/>
    </w:rPr>
  </w:style>
  <w:style w:type="paragraph" w:styleId="FootnoteText">
    <w:name w:val="footnote text"/>
    <w:basedOn w:val="Normal"/>
    <w:link w:val="FootnoteTextChar"/>
    <w:unhideWhenUsed/>
    <w:rsid w:val="00C624E7"/>
    <w:pPr>
      <w:spacing w:after="0" w:line="240" w:lineRule="auto"/>
      <w:ind w:left="360" w:hanging="360"/>
      <w:jc w:val="both"/>
    </w:pPr>
    <w:rPr>
      <w:rFonts w:ascii="Calibri" w:eastAsia="Calibri" w:hAnsi="Calibri" w:cs="Times New Roman"/>
      <w:sz w:val="20"/>
      <w:szCs w:val="20"/>
    </w:rPr>
  </w:style>
  <w:style w:type="character" w:customStyle="1" w:styleId="FootnoteTextChar">
    <w:name w:val="Footnote Text Char"/>
    <w:basedOn w:val="DefaultParagraphFont"/>
    <w:link w:val="FootnoteText"/>
    <w:rsid w:val="00C624E7"/>
    <w:rPr>
      <w:rFonts w:ascii="Calibri" w:eastAsia="Calibri" w:hAnsi="Calibri" w:cs="Times New Roman"/>
      <w:sz w:val="20"/>
      <w:szCs w:val="20"/>
    </w:rPr>
  </w:style>
  <w:style w:type="character" w:styleId="FootnoteReference">
    <w:name w:val="footnote reference"/>
    <w:unhideWhenUsed/>
    <w:rsid w:val="00C624E7"/>
    <w:rPr>
      <w:vertAlign w:val="superscript"/>
    </w:rPr>
  </w:style>
  <w:style w:type="character" w:styleId="CommentReference">
    <w:name w:val="annotation reference"/>
    <w:basedOn w:val="DefaultParagraphFont"/>
    <w:uiPriority w:val="99"/>
    <w:semiHidden/>
    <w:unhideWhenUsed/>
    <w:rsid w:val="00C624E7"/>
    <w:rPr>
      <w:sz w:val="16"/>
      <w:szCs w:val="16"/>
    </w:rPr>
  </w:style>
  <w:style w:type="paragraph" w:styleId="CommentText">
    <w:name w:val="annotation text"/>
    <w:basedOn w:val="Normal"/>
    <w:link w:val="CommentTextChar"/>
    <w:uiPriority w:val="99"/>
    <w:semiHidden/>
    <w:unhideWhenUsed/>
    <w:rsid w:val="00C624E7"/>
    <w:pPr>
      <w:spacing w:line="240" w:lineRule="auto"/>
    </w:pPr>
    <w:rPr>
      <w:sz w:val="20"/>
      <w:szCs w:val="20"/>
    </w:rPr>
  </w:style>
  <w:style w:type="character" w:customStyle="1" w:styleId="CommentTextChar">
    <w:name w:val="Comment Text Char"/>
    <w:basedOn w:val="DefaultParagraphFont"/>
    <w:link w:val="CommentText"/>
    <w:uiPriority w:val="99"/>
    <w:semiHidden/>
    <w:rsid w:val="00C624E7"/>
    <w:rPr>
      <w:sz w:val="20"/>
      <w:szCs w:val="20"/>
    </w:rPr>
  </w:style>
  <w:style w:type="paragraph" w:styleId="CommentSubject">
    <w:name w:val="annotation subject"/>
    <w:basedOn w:val="CommentText"/>
    <w:next w:val="CommentText"/>
    <w:link w:val="CommentSubjectChar"/>
    <w:uiPriority w:val="99"/>
    <w:semiHidden/>
    <w:unhideWhenUsed/>
    <w:rsid w:val="00C624E7"/>
    <w:rPr>
      <w:b/>
      <w:bCs/>
    </w:rPr>
  </w:style>
  <w:style w:type="character" w:customStyle="1" w:styleId="CommentSubjectChar">
    <w:name w:val="Comment Subject Char"/>
    <w:basedOn w:val="CommentTextChar"/>
    <w:link w:val="CommentSubject"/>
    <w:uiPriority w:val="99"/>
    <w:semiHidden/>
    <w:rsid w:val="00C624E7"/>
    <w:rPr>
      <w:b/>
      <w:bCs/>
      <w:sz w:val="20"/>
      <w:szCs w:val="20"/>
    </w:rPr>
  </w:style>
  <w:style w:type="paragraph" w:styleId="Revision">
    <w:name w:val="Revision"/>
    <w:hidden/>
    <w:uiPriority w:val="99"/>
    <w:semiHidden/>
    <w:rsid w:val="00C624E7"/>
    <w:pPr>
      <w:spacing w:after="0" w:line="240" w:lineRule="auto"/>
    </w:pPr>
  </w:style>
  <w:style w:type="character" w:customStyle="1" w:styleId="UnresolvedMention1">
    <w:name w:val="Unresolved Mention1"/>
    <w:basedOn w:val="DefaultParagraphFont"/>
    <w:uiPriority w:val="99"/>
    <w:semiHidden/>
    <w:unhideWhenUsed/>
    <w:rsid w:val="00446316"/>
    <w:rPr>
      <w:color w:val="605E5C"/>
      <w:shd w:val="clear" w:color="auto" w:fill="E1DFDD"/>
    </w:rPr>
  </w:style>
  <w:style w:type="character" w:styleId="Strong">
    <w:name w:val="Strong"/>
    <w:basedOn w:val="DefaultParagraphFont"/>
    <w:uiPriority w:val="22"/>
    <w:qFormat/>
    <w:rsid w:val="00A93806"/>
    <w:rPr>
      <w:b/>
      <w:bCs/>
    </w:rPr>
  </w:style>
  <w:style w:type="character" w:customStyle="1" w:styleId="normaltextrun">
    <w:name w:val="normaltextrun"/>
    <w:basedOn w:val="DefaultParagraphFont"/>
    <w:rsid w:val="009869B2"/>
  </w:style>
  <w:style w:type="character" w:customStyle="1" w:styleId="xxmsocommentreference">
    <w:name w:val="x_x_msocommentreference"/>
    <w:basedOn w:val="DefaultParagraphFont"/>
    <w:rsid w:val="006A3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6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65975FD695A48AF39D3B26D0F58E1" ma:contentTypeVersion="12" ma:contentTypeDescription="Create a new document." ma:contentTypeScope="" ma:versionID="f6048adb73246986e38214cfb89c7ecd">
  <xsd:schema xmlns:xsd="http://www.w3.org/2001/XMLSchema" xmlns:xs="http://www.w3.org/2001/XMLSchema" xmlns:p="http://schemas.microsoft.com/office/2006/metadata/properties" xmlns:ns1="http://schemas.microsoft.com/sharepoint/v3" xmlns:ns2="42dc7104-cf23-4c8d-80e3-6fad0bfaa29b" xmlns:ns3="32b4c873-e5b8-490d-a18e-e93d72331aaf" targetNamespace="http://schemas.microsoft.com/office/2006/metadata/properties" ma:root="true" ma:fieldsID="4f0aec1e91730e39a9eef26af8e26fdc" ns1:_="" ns2:_="" ns3:_="">
    <xsd:import namespace="http://schemas.microsoft.com/sharepoint/v3"/>
    <xsd:import namespace="42dc7104-cf23-4c8d-80e3-6fad0bfaa29b"/>
    <xsd:import namespace="32b4c873-e5b8-490d-a18e-e93d72331a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c7104-cf23-4c8d-80e3-6fad0bfaa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b4c873-e5b8-490d-a18e-e93d72331a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FB3F2-D608-4886-8DD5-FD642AF10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dc7104-cf23-4c8d-80e3-6fad0bfaa29b"/>
    <ds:schemaRef ds:uri="32b4c873-e5b8-490d-a18e-e93d72331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10466F-E8B1-471A-828F-EE6239D8F0E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161B38-15BB-4091-A287-E3D76D667CD7}">
  <ds:schemaRefs>
    <ds:schemaRef ds:uri="http://schemas.microsoft.com/sharepoint/v3/contenttype/forms"/>
  </ds:schemaRefs>
</ds:datastoreItem>
</file>

<file path=customXml/itemProps4.xml><?xml version="1.0" encoding="utf-8"?>
<ds:datastoreItem xmlns:ds="http://schemas.openxmlformats.org/officeDocument/2006/customXml" ds:itemID="{446F94E7-6F56-438B-B59D-CAF81851F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2214</Words>
  <Characters>12625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Zefiretto, Laura A</dc:creator>
  <cp:keywords/>
  <dc:description/>
  <cp:lastModifiedBy>German, Berlina Y</cp:lastModifiedBy>
  <cp:revision>2</cp:revision>
  <cp:lastPrinted>2022-03-11T16:08:00Z</cp:lastPrinted>
  <dcterms:created xsi:type="dcterms:W3CDTF">2022-04-06T16:02:00Z</dcterms:created>
  <dcterms:modified xsi:type="dcterms:W3CDTF">2022-04-06T16:02:00Z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0x01010090965975FD695A48AF39D3B26D0F58E1</vt:lpwstr>
  </property>
</Properties>
</file>